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58DD9" w14:textId="3C4CCC18" w:rsidR="005C3902" w:rsidRDefault="005C3902" w:rsidP="00CC4F20">
      <w:pPr>
        <w:jc w:val="center"/>
        <w:rPr>
          <w:rFonts w:asciiTheme="minorBidi" w:hAnsiTheme="minorBidi"/>
          <w:b/>
          <w:bCs/>
          <w:sz w:val="36"/>
          <w:szCs w:val="36"/>
        </w:rPr>
      </w:pPr>
      <w:r w:rsidRPr="00CC4F20">
        <w:rPr>
          <w:rFonts w:asciiTheme="minorBidi" w:hAnsiTheme="minorBidi"/>
          <w:b/>
          <w:bCs/>
          <w:sz w:val="36"/>
          <w:szCs w:val="36"/>
        </w:rPr>
        <w:t>Analyse</w:t>
      </w:r>
      <w:r w:rsidR="00741545" w:rsidRPr="00CC4F20">
        <w:rPr>
          <w:rFonts w:asciiTheme="minorBidi" w:hAnsiTheme="minorBidi"/>
          <w:b/>
          <w:bCs/>
          <w:sz w:val="36"/>
          <w:szCs w:val="36"/>
        </w:rPr>
        <w:t xml:space="preserve"> sur la loi de finance</w:t>
      </w:r>
      <w:r w:rsidR="00CC4F20" w:rsidRPr="00CC4F20">
        <w:rPr>
          <w:rFonts w:asciiTheme="minorBidi" w:hAnsiTheme="minorBidi"/>
          <w:b/>
          <w:bCs/>
          <w:sz w:val="36"/>
          <w:szCs w:val="36"/>
        </w:rPr>
        <w:t>s</w:t>
      </w:r>
      <w:r w:rsidR="00741545" w:rsidRPr="00CC4F20">
        <w:rPr>
          <w:rFonts w:asciiTheme="minorBidi" w:hAnsiTheme="minorBidi"/>
          <w:b/>
          <w:bCs/>
          <w:sz w:val="36"/>
          <w:szCs w:val="36"/>
        </w:rPr>
        <w:t xml:space="preserve"> 2025</w:t>
      </w:r>
    </w:p>
    <w:p w14:paraId="5A15E30A" w14:textId="2F43769C" w:rsidR="00107D25" w:rsidRPr="00107D25" w:rsidRDefault="00107D25" w:rsidP="00107D25">
      <w:pPr>
        <w:rPr>
          <w:rFonts w:asciiTheme="minorBidi" w:hAnsiTheme="minorBidi"/>
          <w:sz w:val="20"/>
          <w:szCs w:val="20"/>
        </w:rPr>
      </w:pPr>
      <w:r w:rsidRPr="00107D25">
        <w:rPr>
          <w:rFonts w:asciiTheme="minorBidi" w:hAnsiTheme="minorBidi"/>
          <w:sz w:val="20"/>
          <w:szCs w:val="20"/>
        </w:rPr>
        <w:t>Présenté par Macodou Ndione Analyste de données (MONCAP)</w:t>
      </w:r>
    </w:p>
    <w:p w14:paraId="4771DF82" w14:textId="5125402D" w:rsidR="00107D25" w:rsidRPr="00107D25" w:rsidRDefault="00107D25" w:rsidP="00107D25">
      <w:pPr>
        <w:rPr>
          <w:rFonts w:asciiTheme="minorBidi" w:hAnsiTheme="minorBidi"/>
          <w:sz w:val="20"/>
          <w:szCs w:val="20"/>
        </w:rPr>
      </w:pPr>
      <w:r w:rsidRPr="00107D25">
        <w:rPr>
          <w:rFonts w:asciiTheme="minorBidi" w:hAnsiTheme="minorBidi"/>
          <w:sz w:val="20"/>
          <w:szCs w:val="20"/>
        </w:rPr>
        <w:t>Le 6 janvier 2025</w:t>
      </w:r>
    </w:p>
    <w:p w14:paraId="29C21F76" w14:textId="77777777" w:rsidR="00235D39" w:rsidRPr="00235D39" w:rsidRDefault="00235D39" w:rsidP="00235D39">
      <w:pPr>
        <w:rPr>
          <w:rFonts w:asciiTheme="minorBidi" w:hAnsiTheme="minorBidi"/>
          <w:sz w:val="28"/>
          <w:szCs w:val="28"/>
        </w:rPr>
      </w:pPr>
      <w:r w:rsidRPr="00235D39">
        <w:rPr>
          <w:rFonts w:asciiTheme="minorBidi" w:hAnsiTheme="minorBidi"/>
          <w:b/>
          <w:bCs/>
          <w:sz w:val="28"/>
          <w:szCs w:val="28"/>
        </w:rPr>
        <w:t>Introduction :</w:t>
      </w:r>
      <w:r w:rsidRPr="00235D39">
        <w:rPr>
          <w:rFonts w:asciiTheme="minorBidi" w:hAnsiTheme="minorBidi"/>
          <w:sz w:val="28"/>
          <w:szCs w:val="28"/>
        </w:rPr>
        <w:br/>
        <w:t>La loi de finances 2025 intervient dans un contexte marqué par des mutations politiques et économiques profondes au Sénégal. La récente transition politique, symbolisée par l'élection de Bassirou Diomaye Diakhar FAYE, a introduit une nouvelle dynamique dans la gouvernance nationale, exigeant un réalignement stratégique du budget pour refléter les priorités de l'exécutif. Ce cadre budgétaire se veut ambitieux, axé sur des piliers tels que la souveraineté nationale, le développement du capital humain, et la territorialisation des investissements. Néanmoins, les défis structurels subsistent, notamment un sous-emploi persistant et une dépendance aux financements extérieurs.</w:t>
      </w:r>
    </w:p>
    <w:p w14:paraId="173DBE86" w14:textId="77777777" w:rsidR="00235D39" w:rsidRPr="00235D39" w:rsidRDefault="00235D39" w:rsidP="00235D39">
      <w:pPr>
        <w:rPr>
          <w:rFonts w:asciiTheme="minorBidi" w:hAnsiTheme="minorBidi"/>
          <w:sz w:val="28"/>
          <w:szCs w:val="28"/>
        </w:rPr>
      </w:pPr>
      <w:r w:rsidRPr="00235D39">
        <w:rPr>
          <w:rFonts w:asciiTheme="minorBidi" w:hAnsiTheme="minorBidi"/>
          <w:sz w:val="28"/>
          <w:szCs w:val="28"/>
        </w:rPr>
        <w:t>Sur le plan économique, la découverte des hydrocarbures ouvre des perspectives prometteuses, mais pose également des enjeux de gestion optimale des ressources. La loi de finances met l'accent sur des réformes fiscales audacieuses, la digitalisation des procédures et une gouvernance financière modernisée. Cependant, la soutenabilité de la dette et la vulnérabilité face aux chocs externes restent des préoccupations majeures. Dans ce contexte, l’analyse approfondie des allocations budgétaires, des recettes prévues et des mécanismes de financement est essentielle pour garantir un développement inclusif et équilibré.</w:t>
      </w:r>
    </w:p>
    <w:p w14:paraId="1FE35396" w14:textId="4A1DBE2D" w:rsidR="00AC5CE1" w:rsidRPr="00AC5CE1" w:rsidRDefault="00AC5CE1" w:rsidP="00AC5CE1">
      <w:pPr>
        <w:rPr>
          <w:rFonts w:asciiTheme="minorBidi" w:hAnsiTheme="minorBidi"/>
          <w:sz w:val="28"/>
          <w:szCs w:val="28"/>
        </w:rPr>
      </w:pPr>
      <w:r>
        <w:rPr>
          <w:rFonts w:asciiTheme="minorBidi" w:hAnsiTheme="minorBidi"/>
          <w:b/>
          <w:bCs/>
          <w:sz w:val="28"/>
          <w:szCs w:val="28"/>
        </w:rPr>
        <w:t>L</w:t>
      </w:r>
      <w:r w:rsidRPr="00AC5CE1">
        <w:rPr>
          <w:rFonts w:asciiTheme="minorBidi" w:hAnsiTheme="minorBidi"/>
          <w:b/>
          <w:bCs/>
          <w:sz w:val="28"/>
          <w:szCs w:val="28"/>
        </w:rPr>
        <w:t>e Contexte et les Orientations de la Loi de Finances 2025</w:t>
      </w:r>
    </w:p>
    <w:p w14:paraId="6F0A65E6" w14:textId="77777777" w:rsidR="00AC5CE1" w:rsidRPr="00AC5CE1" w:rsidRDefault="00AC5CE1" w:rsidP="00AC5CE1">
      <w:pPr>
        <w:rPr>
          <w:rFonts w:asciiTheme="minorBidi" w:hAnsiTheme="minorBidi"/>
          <w:sz w:val="28"/>
          <w:szCs w:val="28"/>
        </w:rPr>
      </w:pPr>
      <w:r w:rsidRPr="00AC5CE1">
        <w:rPr>
          <w:rFonts w:asciiTheme="minorBidi" w:hAnsiTheme="minorBidi"/>
          <w:sz w:val="28"/>
          <w:szCs w:val="28"/>
        </w:rPr>
        <w:t>La loi de finances 2025 s'inscrit dans un contexte de transition politique majeure, marqué par la troisième alternance démocratique du Sénégal avec l'élection du Président Bassirou Diomaye Diakhar FAYE le 24 mars 2024. Cette transition s'accompagne de la mise en place d'un nouveau gouvernement et de l'obtention d'une majorité qualifiée à l'Assemblée nationale huit mois plus tard. Ce changement politique nécessite un réalignement du budget 2024 sur la nouvelle architecture gouvernementale et l'adaptation aux nouvelles priorités définies par l'exécutif.</w:t>
      </w:r>
    </w:p>
    <w:p w14:paraId="7CF42289" w14:textId="77777777" w:rsidR="00AC5CE1" w:rsidRPr="00AC5CE1" w:rsidRDefault="00AC5CE1" w:rsidP="00AC5CE1">
      <w:pPr>
        <w:rPr>
          <w:rFonts w:asciiTheme="minorBidi" w:hAnsiTheme="minorBidi"/>
          <w:sz w:val="28"/>
          <w:szCs w:val="28"/>
        </w:rPr>
      </w:pPr>
      <w:r w:rsidRPr="00AC5CE1">
        <w:rPr>
          <w:rFonts w:asciiTheme="minorBidi" w:hAnsiTheme="minorBidi"/>
          <w:sz w:val="28"/>
          <w:szCs w:val="28"/>
        </w:rPr>
        <w:t>Le contexte économique présente des défis significatifs avec un taux de pauvreté de 37%, un sous-emploi élevé et une croissance économique qualifiée de "timide" sur les cinq dernières années. L'entrée du Sénégal dans le cercle des producteurs de pétrole, avec une production attendue de 15 millions de barils en 2024 et 30 millions en 2025, ouvre de nouvelles perspectives. Le budget prévoit des recettes d'hydrocarbures de 72,53 milliards de FCFA pour 2025, réparties entre le budget général (70%), le fonds intergénérationnel (10%) et le fonds de stabilisation (20%).</w:t>
      </w:r>
    </w:p>
    <w:p w14:paraId="3CDDD6E2" w14:textId="77777777" w:rsidR="00AC5CE1" w:rsidRPr="00AC5CE1" w:rsidRDefault="00AC5CE1" w:rsidP="00AC5CE1">
      <w:pPr>
        <w:rPr>
          <w:rFonts w:asciiTheme="minorBidi" w:hAnsiTheme="minorBidi"/>
          <w:sz w:val="28"/>
          <w:szCs w:val="28"/>
        </w:rPr>
      </w:pPr>
      <w:r w:rsidRPr="00AC5CE1">
        <w:rPr>
          <w:rFonts w:asciiTheme="minorBidi" w:hAnsiTheme="minorBidi"/>
          <w:sz w:val="28"/>
          <w:szCs w:val="28"/>
        </w:rPr>
        <w:t>L'environnement international impacte fortement les orientations budgétaires, dans un contexte de croissance mondiale projetée à 3,2% en 2024 et 2025. Au niveau de l'UEMOA, la croissance devrait atteindre 7,0% en 2025, avec une inflation prévue à 4,0%. Le déficit budgétaire de l'Union devrait s'établir à 3,4% en 2025, avec un taux d'endettement projeté à 59,7%. Ces indicateurs régionaux influencent directement la stratégie budgétaire nationale qui vise un déficit de 7,08% du PIB pour 2025.</w:t>
      </w:r>
    </w:p>
    <w:p w14:paraId="25897259" w14:textId="77777777" w:rsidR="00AC5CE1" w:rsidRPr="00AC5CE1" w:rsidRDefault="00AC5CE1" w:rsidP="00AC5CE1">
      <w:pPr>
        <w:rPr>
          <w:rFonts w:asciiTheme="minorBidi" w:hAnsiTheme="minorBidi"/>
          <w:sz w:val="28"/>
          <w:szCs w:val="28"/>
        </w:rPr>
      </w:pPr>
      <w:r w:rsidRPr="00AC5CE1">
        <w:rPr>
          <w:rFonts w:asciiTheme="minorBidi" w:hAnsiTheme="minorBidi"/>
          <w:sz w:val="28"/>
          <w:szCs w:val="28"/>
        </w:rPr>
        <w:t>Le budget s'articule autour des quatre piliers du référentiel "Sénégal 2050" avec des allocations significatives : 1.070 milliards FCFA pour la souveraineté alimentaire, 1.377 milliards FCFA pour l'éducation et la formation professionnelle, 1.885 milliards FCFA pour les dépenses sociales (34,5% du budget général hors dette), et des dotations accrues pour les collectivités territoriales (FECT : 42,7 milliards FCFA, FDD : 36,9 milliards FCFA). La territorialisation du développement s'organise autour de huit pôles économiques stratégiques pour corriger les déséquilibres régionaux.</w:t>
      </w:r>
    </w:p>
    <w:p w14:paraId="2D4F83FE" w14:textId="5C198F27" w:rsidR="008E0876" w:rsidRPr="008E0876" w:rsidRDefault="008E0876" w:rsidP="008E0876">
      <w:pPr>
        <w:rPr>
          <w:rFonts w:asciiTheme="minorBidi" w:hAnsiTheme="minorBidi"/>
          <w:b/>
          <w:bCs/>
          <w:sz w:val="28"/>
          <w:szCs w:val="28"/>
        </w:rPr>
      </w:pPr>
      <w:r>
        <w:rPr>
          <w:rFonts w:asciiTheme="minorBidi" w:hAnsiTheme="minorBidi"/>
          <w:b/>
          <w:bCs/>
          <w:sz w:val="28"/>
          <w:szCs w:val="28"/>
        </w:rPr>
        <w:t xml:space="preserve">Les </w:t>
      </w:r>
      <w:r w:rsidRPr="008E0876">
        <w:rPr>
          <w:rFonts w:asciiTheme="minorBidi" w:hAnsiTheme="minorBidi"/>
          <w:b/>
          <w:bCs/>
          <w:sz w:val="28"/>
          <w:szCs w:val="28"/>
        </w:rPr>
        <w:t>Objectifs Stratégiques et Ruptures de la LFI 2025</w:t>
      </w:r>
    </w:p>
    <w:p w14:paraId="5E8769A9" w14:textId="77777777" w:rsidR="008E0876" w:rsidRPr="008E0876" w:rsidRDefault="008E0876" w:rsidP="008E0876">
      <w:pPr>
        <w:rPr>
          <w:rFonts w:asciiTheme="minorBidi" w:hAnsiTheme="minorBidi"/>
          <w:sz w:val="28"/>
          <w:szCs w:val="28"/>
        </w:rPr>
      </w:pPr>
      <w:r w:rsidRPr="008E0876">
        <w:rPr>
          <w:rFonts w:asciiTheme="minorBidi" w:hAnsiTheme="minorBidi"/>
          <w:sz w:val="28"/>
          <w:szCs w:val="28"/>
        </w:rPr>
        <w:t>Le nouveau cadre budgétaire du Sénégal s'articule autour d'objectifs ambitieux de souveraineté nationale. Avec 1.070 milliards FCFA pour la souveraineté alimentaire et des projections d'exploitation de 30 millions de barils de pétrole et 1,2 million de GNL pour la souveraineté énergétique, le budget 2025 marque une volonté d'autonomisation. La vision à long terme vise à positionner le Sénégal comme pays à revenus intermédiaires supérieurs, avec un PIB/habitant de 4500 dollars et un taux de pauvreté réduit à 10%.</w:t>
      </w:r>
    </w:p>
    <w:p w14:paraId="0BED4FB1" w14:textId="77777777" w:rsidR="008E0876" w:rsidRPr="008E0876" w:rsidRDefault="008E0876" w:rsidP="008E0876">
      <w:pPr>
        <w:rPr>
          <w:rFonts w:asciiTheme="minorBidi" w:hAnsiTheme="minorBidi"/>
          <w:sz w:val="28"/>
          <w:szCs w:val="28"/>
        </w:rPr>
      </w:pPr>
      <w:r w:rsidRPr="008E0876">
        <w:rPr>
          <w:rFonts w:asciiTheme="minorBidi" w:hAnsiTheme="minorBidi"/>
          <w:sz w:val="28"/>
          <w:szCs w:val="28"/>
        </w:rPr>
        <w:t>La gouvernance financière connaît une transformation majeure avec un rééquilibrage du mix de financement (41% externe, 59% domestique) à l'horizon 2027. La restructuration du portefeuille public et la digitalisation administrative, notamment via la facturation électronique, témoignent d'une modernisation de la gestion publique. La politique d'endettement devient plus prudente, soutenue par le renforcement des prérogatives du Comité national de la Dette publique.</w:t>
      </w:r>
    </w:p>
    <w:p w14:paraId="2A16DDDE" w14:textId="77777777" w:rsidR="008E0876" w:rsidRPr="008E0876" w:rsidRDefault="008E0876" w:rsidP="008E0876">
      <w:pPr>
        <w:rPr>
          <w:rFonts w:asciiTheme="minorBidi" w:hAnsiTheme="minorBidi"/>
          <w:sz w:val="28"/>
          <w:szCs w:val="28"/>
        </w:rPr>
      </w:pPr>
      <w:r w:rsidRPr="008E0876">
        <w:rPr>
          <w:rFonts w:asciiTheme="minorBidi" w:hAnsiTheme="minorBidi"/>
          <w:sz w:val="28"/>
          <w:szCs w:val="28"/>
        </w:rPr>
        <w:t>L'investissement dans le capital humain constitue une priorité marquée avec 1.377 milliards FCFA dédiés à l'éducation et la formation professionnelle. Cette allocation vise l'employabilité des jeunes à travers un programme quinquennal de recrutement d'enseignants, la suppression des abris provisoires et l'alignement des formations sur les besoins du marché. La création d'incubateurs PME et le soutien à l'artisanat complètent cette stratégie de développement du capital humain.</w:t>
      </w:r>
    </w:p>
    <w:p w14:paraId="4A4A59B3" w14:textId="77777777" w:rsidR="008E0876" w:rsidRDefault="008E0876" w:rsidP="008E0876">
      <w:pPr>
        <w:rPr>
          <w:rFonts w:asciiTheme="minorBidi" w:hAnsiTheme="minorBidi"/>
          <w:sz w:val="28"/>
          <w:szCs w:val="28"/>
        </w:rPr>
      </w:pPr>
      <w:r w:rsidRPr="008E0876">
        <w:rPr>
          <w:rFonts w:asciiTheme="minorBidi" w:hAnsiTheme="minorBidi"/>
          <w:sz w:val="28"/>
          <w:szCs w:val="28"/>
        </w:rPr>
        <w:t>Le développement territorial équilibré se matérialise par la structuration de huit pôles économiques régionaux. Les collectivités territoriales voient leurs moyens renforcés avec le FECT (42,7 milliards FCFA) et le FDD (36,9 milliards FCFA). Les dépenses sociales atteignent 1.885 milliards FCFA, soit 34,5% du budget général hors dette, démontrant l'engagement pour un développement inclusif et équitable sur l'ensemble du territoire.</w:t>
      </w:r>
    </w:p>
    <w:p w14:paraId="4B39853F" w14:textId="77777777" w:rsidR="008E0876" w:rsidRPr="008E0876" w:rsidRDefault="008E0876" w:rsidP="008E0876">
      <w:pPr>
        <w:rPr>
          <w:rFonts w:asciiTheme="minorBidi" w:hAnsiTheme="minorBidi"/>
          <w:sz w:val="28"/>
          <w:szCs w:val="28"/>
        </w:rPr>
      </w:pPr>
      <w:r w:rsidRPr="008E0876">
        <w:rPr>
          <w:rFonts w:asciiTheme="minorBidi" w:hAnsiTheme="minorBidi"/>
          <w:sz w:val="28"/>
          <w:szCs w:val="28"/>
        </w:rPr>
        <w:t>La réappropriation des ressources stratégiques nationales s'accompagne d'une révision du Code minier et de mesures protectionnistes favorisant les entreprises nationales. Cette démarche s'inscrit dans une logique de patriotisme économique visant l'émergence de champions nationaux. Le renforcement du contrôle parlementaire et la lutte contre la corruption complètent ce dispositif de gouvernance rénovée.</w:t>
      </w:r>
    </w:p>
    <w:p w14:paraId="78B9A550" w14:textId="77777777" w:rsidR="008E0876" w:rsidRPr="008E0876" w:rsidRDefault="008E0876" w:rsidP="008E0876">
      <w:pPr>
        <w:rPr>
          <w:rFonts w:asciiTheme="minorBidi" w:hAnsiTheme="minorBidi"/>
          <w:sz w:val="28"/>
          <w:szCs w:val="28"/>
        </w:rPr>
      </w:pPr>
      <w:r w:rsidRPr="008E0876">
        <w:rPr>
          <w:rFonts w:asciiTheme="minorBidi" w:hAnsiTheme="minorBidi"/>
          <w:sz w:val="28"/>
          <w:szCs w:val="28"/>
        </w:rPr>
        <w:t>La dimension environnementale émerge comme axe stratégique avec une réserve de précaution de 90 milliards FCFA pour les aléas climatiques. Des projets structurants comme le réseau gazier de 400 km et les "Autoroutes de l'Eau" dans le triangle Dakar-Mbour-Thiès illustrent l'engagement pour une gestion durable des ressources. Cette approche intégrée des enjeux climatiques dans les politiques publiques marque une rupture avec les pratiques antérieures.</w:t>
      </w:r>
    </w:p>
    <w:p w14:paraId="7F541E41" w14:textId="77777777" w:rsidR="008E0876" w:rsidRPr="008E0876" w:rsidRDefault="008E0876" w:rsidP="008E0876">
      <w:pPr>
        <w:rPr>
          <w:rFonts w:asciiTheme="minorBidi" w:hAnsiTheme="minorBidi"/>
          <w:sz w:val="28"/>
          <w:szCs w:val="28"/>
        </w:rPr>
      </w:pPr>
    </w:p>
    <w:p w14:paraId="109DD753" w14:textId="7D6B9853" w:rsidR="00AC5CE1" w:rsidRPr="00AC5CE1" w:rsidRDefault="00AC5CE1" w:rsidP="00AC5CE1">
      <w:pPr>
        <w:rPr>
          <w:rFonts w:asciiTheme="minorBidi" w:hAnsiTheme="minorBidi"/>
          <w:sz w:val="28"/>
          <w:szCs w:val="28"/>
        </w:rPr>
      </w:pPr>
      <w:r>
        <w:rPr>
          <w:rFonts w:asciiTheme="minorBidi" w:hAnsiTheme="minorBidi"/>
          <w:b/>
          <w:bCs/>
          <w:sz w:val="28"/>
          <w:szCs w:val="28"/>
        </w:rPr>
        <w:t>L</w:t>
      </w:r>
      <w:r w:rsidRPr="00AC5CE1">
        <w:rPr>
          <w:rFonts w:asciiTheme="minorBidi" w:hAnsiTheme="minorBidi"/>
          <w:b/>
          <w:bCs/>
          <w:sz w:val="28"/>
          <w:szCs w:val="28"/>
        </w:rPr>
        <w:t>es Recettes et Mécanismes de Collecte - Loi de Finances 2025</w:t>
      </w:r>
    </w:p>
    <w:p w14:paraId="125A4D8B" w14:textId="77777777" w:rsidR="00AC5CE1" w:rsidRPr="00AC5CE1" w:rsidRDefault="00AC5CE1" w:rsidP="00AC5CE1">
      <w:pPr>
        <w:rPr>
          <w:rFonts w:asciiTheme="minorBidi" w:hAnsiTheme="minorBidi"/>
          <w:sz w:val="28"/>
          <w:szCs w:val="28"/>
        </w:rPr>
      </w:pPr>
      <w:r w:rsidRPr="00AC5CE1">
        <w:rPr>
          <w:rFonts w:asciiTheme="minorBidi" w:hAnsiTheme="minorBidi"/>
          <w:sz w:val="28"/>
          <w:szCs w:val="28"/>
        </w:rPr>
        <w:t>Les recettes totales de la loi de finances 2025 s'élèvent à 5.014,3 milliards FCFA, dont 4.794,6 milliards pour le budget général. Les recettes fiscales représentent 4.359,6 milliards FCFA, soit une hausse de 4,3% par rapport à 2024. Les recettes non fiscales sont projetées à 190 milliards FCFA. Une composante nouvelle provient des hydrocarbures avec des recettes estimées à 72,53 milliards FCFA, répartis selon une clé de répartition définie : 70% pour le budget général, 20% pour le fonds de stabilisation et 10% pour le fonds intergénérationnel.</w:t>
      </w:r>
    </w:p>
    <w:p w14:paraId="2D5D7E6D" w14:textId="77777777" w:rsidR="00AC5CE1" w:rsidRPr="00AC5CE1" w:rsidRDefault="00AC5CE1" w:rsidP="00AC5CE1">
      <w:pPr>
        <w:rPr>
          <w:rFonts w:asciiTheme="minorBidi" w:hAnsiTheme="minorBidi"/>
          <w:sz w:val="28"/>
          <w:szCs w:val="28"/>
        </w:rPr>
      </w:pPr>
      <w:r w:rsidRPr="00AC5CE1">
        <w:rPr>
          <w:rFonts w:asciiTheme="minorBidi" w:hAnsiTheme="minorBidi"/>
          <w:sz w:val="28"/>
          <w:szCs w:val="28"/>
        </w:rPr>
        <w:t>D'importantes innovations fiscales sont introduites, notamment l'instauration d'une retenue à la source de 10% sur les prestations médicales et paramédicales dans les établissements de soins privés. Le taux de la taxe spécifique sur les tabacs est porté à 70%. Le système de facturation électronique devient obligatoire, avec une amende égale à 25% du montant de la TVA pour non-conformité, plafonnée à 5 millions FCFA par facture. Ces mesures visent à élargir l'assiette fiscale et à renforcer la traçabilité des transactions.</w:t>
      </w:r>
    </w:p>
    <w:p w14:paraId="76C7E686" w14:textId="77777777" w:rsidR="00AC5CE1" w:rsidRDefault="00AC5CE1" w:rsidP="00AC5CE1">
      <w:pPr>
        <w:rPr>
          <w:rFonts w:asciiTheme="minorBidi" w:hAnsiTheme="minorBidi"/>
          <w:sz w:val="28"/>
          <w:szCs w:val="28"/>
        </w:rPr>
      </w:pPr>
      <w:r w:rsidRPr="00AC5CE1">
        <w:rPr>
          <w:rFonts w:asciiTheme="minorBidi" w:hAnsiTheme="minorBidi"/>
          <w:sz w:val="28"/>
          <w:szCs w:val="28"/>
        </w:rPr>
        <w:t>Les recettes externes connaissent une diminution, passant à 245 milliards FCFA contre 303,8 milliards en 2024, soit une baisse de 19,3%. Cette baisse concerne tant les dons en capital (200 milliards FCFA, -22,1%) que les dons budgétaires (45 milliards FCFA, -4,6%). En compensation, le financement domestique est privilégié avec un objectif de 59% du mix de financement à l'horizon 2027, notamment à travers le développement des "Diaspora Bonds" et une capacité d'absorption estimée à 1.500 milliards FCFA sur le marché local.</w:t>
      </w:r>
    </w:p>
    <w:p w14:paraId="1F19EE71" w14:textId="40DD238B" w:rsidR="00E95AFA" w:rsidRDefault="005E7DB1" w:rsidP="00E95AFA">
      <w:pPr>
        <w:rPr>
          <w:rFonts w:asciiTheme="minorBidi" w:hAnsiTheme="minorBidi"/>
          <w:sz w:val="28"/>
          <w:szCs w:val="28"/>
        </w:rPr>
      </w:pPr>
      <w:r w:rsidRPr="005E7DB1">
        <w:rPr>
          <w:rFonts w:asciiTheme="minorBidi" w:hAnsiTheme="minorBidi"/>
          <w:sz w:val="28"/>
          <w:szCs w:val="28"/>
        </w:rPr>
        <w:t>Les mécanismes de collecte sont modernisés avec la mise en place d'un portail public de facturation électronique et de plateformes de dématérialisation. Les établissements publics et les concessionnaires de services publics (eau, électricité, téléphone) sont maintenus parmi les entités devant effectuer le précompte de TVA. Une attention particulière est portée à la lutte contre l'évasion fiscale, avec l'introduction de nouvelles obligations pour les marchés conclus avec des entreprises étrangères, notamment l'exigence d'un quitus fiscal de moins de 30 jours.</w:t>
      </w:r>
    </w:p>
    <w:tbl>
      <w:tblPr>
        <w:tblStyle w:val="Grilledutableau"/>
        <w:tblW w:w="0" w:type="auto"/>
        <w:tblCellMar>
          <w:left w:w="70" w:type="dxa"/>
          <w:right w:w="70" w:type="dxa"/>
        </w:tblCellMar>
        <w:tblLook w:val="04A0" w:firstRow="1" w:lastRow="0" w:firstColumn="1" w:lastColumn="0" w:noHBand="0" w:noVBand="1"/>
      </w:tblPr>
      <w:tblGrid>
        <w:gridCol w:w="4465"/>
        <w:gridCol w:w="4597"/>
      </w:tblGrid>
      <w:tr w:rsidR="00EC6197" w14:paraId="21A643DA" w14:textId="77777777" w:rsidTr="00EC6197">
        <w:tc>
          <w:tcPr>
            <w:tcW w:w="4531" w:type="dxa"/>
          </w:tcPr>
          <w:p w14:paraId="509677FB" w14:textId="1EEFE805" w:rsidR="00EC6197" w:rsidRDefault="00EC6197" w:rsidP="00E95AFA">
            <w:pPr>
              <w:rPr>
                <w:rFonts w:asciiTheme="minorBidi" w:hAnsiTheme="minorBidi"/>
                <w:sz w:val="28"/>
                <w:szCs w:val="28"/>
              </w:rPr>
            </w:pPr>
            <w:r>
              <w:rPr>
                <w:noProof/>
              </w:rPr>
              <w:drawing>
                <wp:inline distT="0" distB="0" distL="0" distR="0" wp14:anchorId="74A4D3B7" wp14:editId="006ACCFC">
                  <wp:extent cx="3097763" cy="3263900"/>
                  <wp:effectExtent l="0" t="0" r="7620" b="12700"/>
                  <wp:docPr id="421473657" name="Graphique 1">
                    <a:extLst xmlns:a="http://schemas.openxmlformats.org/drawingml/2006/main">
                      <a:ext uri="{FF2B5EF4-FFF2-40B4-BE49-F238E27FC236}">
                        <a16:creationId xmlns:a16="http://schemas.microsoft.com/office/drawing/2014/main" id="{DBF4F28F-0C28-ACC5-B7CA-070D28E8BE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tc>
        <w:tc>
          <w:tcPr>
            <w:tcW w:w="4531" w:type="dxa"/>
          </w:tcPr>
          <w:p w14:paraId="3785C368" w14:textId="2D7F0A37" w:rsidR="00EC6197" w:rsidRDefault="00EC6197" w:rsidP="00E95AFA">
            <w:pPr>
              <w:rPr>
                <w:rFonts w:asciiTheme="minorBidi" w:hAnsiTheme="minorBidi"/>
                <w:sz w:val="28"/>
                <w:szCs w:val="28"/>
              </w:rPr>
            </w:pPr>
            <w:r>
              <w:rPr>
                <w:noProof/>
              </w:rPr>
              <w:drawing>
                <wp:inline distT="0" distB="0" distL="0" distR="0" wp14:anchorId="7DB7BB17" wp14:editId="62EA919D">
                  <wp:extent cx="3186404" cy="3263900"/>
                  <wp:effectExtent l="0" t="0" r="14605" b="12700"/>
                  <wp:docPr id="81461056" name="Graphique 1">
                    <a:extLst xmlns:a="http://schemas.openxmlformats.org/drawingml/2006/main">
                      <a:ext uri="{FF2B5EF4-FFF2-40B4-BE49-F238E27FC236}">
                        <a16:creationId xmlns:a16="http://schemas.microsoft.com/office/drawing/2014/main" id="{3F720FC5-5524-4FBE-AB31-2FB60999B4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tc>
      </w:tr>
    </w:tbl>
    <w:p w14:paraId="40B047CC" w14:textId="77777777" w:rsidR="00E95AFA" w:rsidRDefault="00E95AFA" w:rsidP="00E95AFA">
      <w:pPr>
        <w:rPr>
          <w:rFonts w:asciiTheme="minorBidi" w:hAnsiTheme="minorBidi"/>
          <w:sz w:val="28"/>
          <w:szCs w:val="28"/>
        </w:rPr>
      </w:pPr>
    </w:p>
    <w:p w14:paraId="5E4D607D" w14:textId="77777777" w:rsidR="008E0876" w:rsidRPr="008E0876" w:rsidRDefault="008E0876" w:rsidP="008E0876">
      <w:pPr>
        <w:rPr>
          <w:rFonts w:asciiTheme="minorBidi" w:hAnsiTheme="minorBidi"/>
          <w:sz w:val="28"/>
          <w:szCs w:val="28"/>
        </w:rPr>
      </w:pPr>
      <w:r w:rsidRPr="008E0876">
        <w:rPr>
          <w:rFonts w:asciiTheme="minorBidi" w:hAnsiTheme="minorBidi"/>
          <w:b/>
          <w:bCs/>
          <w:sz w:val="28"/>
          <w:szCs w:val="28"/>
        </w:rPr>
        <w:t>Rapport sur les Allocations et Priorités Budgétaires 2025</w:t>
      </w:r>
    </w:p>
    <w:p w14:paraId="597B7732" w14:textId="77777777" w:rsidR="008E0876" w:rsidRPr="008E0876" w:rsidRDefault="008E0876" w:rsidP="008E0876">
      <w:pPr>
        <w:rPr>
          <w:rFonts w:asciiTheme="minorBidi" w:hAnsiTheme="minorBidi"/>
          <w:sz w:val="28"/>
          <w:szCs w:val="28"/>
        </w:rPr>
      </w:pPr>
      <w:r w:rsidRPr="008E0876">
        <w:rPr>
          <w:rFonts w:asciiTheme="minorBidi" w:hAnsiTheme="minorBidi"/>
          <w:sz w:val="28"/>
          <w:szCs w:val="28"/>
        </w:rPr>
        <w:t>Les dépenses totales du budget 2025 s'élèvent à 6.614,8 milliards FCFA, soit une hausse de 14,9% par rapport à 2024. Les dépenses courantes constituent la part la plus importante avec 4.348,1 milliards FCFA, comprenant 932,1 milliards pour la dette (hausse de 61,2%), 1.485,5 milliards pour le personnel (hausse de 3%), et 1.930,5 milliards pour les biens, services et transferts courants (hausse de 15,1%). Cette répartition reflète l'engagement de maîtriser la masse salariale tout en maintenant les services essentiels.</w:t>
      </w:r>
    </w:p>
    <w:p w14:paraId="7098A68F" w14:textId="77777777" w:rsidR="008E0876" w:rsidRPr="008E0876" w:rsidRDefault="008E0876" w:rsidP="008E0876">
      <w:pPr>
        <w:rPr>
          <w:rFonts w:asciiTheme="minorBidi" w:hAnsiTheme="minorBidi"/>
          <w:sz w:val="28"/>
          <w:szCs w:val="28"/>
        </w:rPr>
      </w:pPr>
      <w:r w:rsidRPr="008E0876">
        <w:rPr>
          <w:rFonts w:asciiTheme="minorBidi" w:hAnsiTheme="minorBidi"/>
          <w:sz w:val="28"/>
          <w:szCs w:val="28"/>
        </w:rPr>
        <w:t>Les investissements prioritaires ciblent les secteurs stratégiques avec des allocations majeures : 1.377 milliards FCFA pour l'éducation et la formation professionnelle, 1.070 milliards FCFA pour la souveraineté alimentaire, et plus de 600 milliards FCFA pour les infrastructures de communication. Les dépenses en capital sur ressources internes sont fixées à 880 milliards FCFA, tandis que celles sur ressources externes atteignent 1.167 milliards FCFA, démontrant un effort d'équilibrage entre financement intérieur et extérieur.</w:t>
      </w:r>
    </w:p>
    <w:p w14:paraId="15183E5C" w14:textId="77777777" w:rsidR="00E95AFA" w:rsidRPr="00AC5CE1" w:rsidRDefault="008E0876" w:rsidP="008E0876">
      <w:pPr>
        <w:rPr>
          <w:rFonts w:asciiTheme="minorBidi" w:hAnsiTheme="minorBidi"/>
          <w:sz w:val="28"/>
          <w:szCs w:val="28"/>
        </w:rPr>
      </w:pPr>
      <w:r w:rsidRPr="008E0876">
        <w:rPr>
          <w:rFonts w:asciiTheme="minorBidi" w:hAnsiTheme="minorBidi"/>
          <w:sz w:val="28"/>
          <w:szCs w:val="28"/>
        </w:rPr>
        <w:t>Les dépenses sociales bénéficient d'une attention particulière avec une enveloppe de 1.885 milliards FCFA, représentant 34,5% du budget général hors dette. Cette allocation couvre la couverture sanitaire universelle, les subventions énergétiques (450 milliards FCFA), et les subventions agricoles (120 milliards FCFA). Le soutien aux collectivités territoriales est renforcé avec le FECT à 42,7 milliards FCFA et le FDD à 36,9 milliards FCFA, marquant une volonté de décentralisation effective.</w:t>
      </w:r>
    </w:p>
    <w:tbl>
      <w:tblPr>
        <w:tblStyle w:val="Grilledutableau"/>
        <w:tblW w:w="0" w:type="auto"/>
        <w:tblCellMar>
          <w:left w:w="70" w:type="dxa"/>
          <w:right w:w="70" w:type="dxa"/>
        </w:tblCellMar>
        <w:tblLook w:val="04A0" w:firstRow="1" w:lastRow="0" w:firstColumn="1" w:lastColumn="0" w:noHBand="0" w:noVBand="1"/>
      </w:tblPr>
      <w:tblGrid>
        <w:gridCol w:w="4472"/>
        <w:gridCol w:w="4590"/>
      </w:tblGrid>
      <w:tr w:rsidR="00E95AFA" w14:paraId="3F350162" w14:textId="77777777" w:rsidTr="00E95AFA">
        <w:tc>
          <w:tcPr>
            <w:tcW w:w="4760" w:type="dxa"/>
          </w:tcPr>
          <w:p w14:paraId="02A580E6" w14:textId="6C7BFD63" w:rsidR="00E95AFA" w:rsidRDefault="00E95AFA" w:rsidP="008E0876">
            <w:pPr>
              <w:rPr>
                <w:rFonts w:asciiTheme="minorBidi" w:hAnsiTheme="minorBidi"/>
                <w:sz w:val="28"/>
                <w:szCs w:val="28"/>
              </w:rPr>
            </w:pPr>
            <w:r>
              <w:rPr>
                <w:noProof/>
              </w:rPr>
              <w:drawing>
                <wp:inline distT="0" distB="0" distL="0" distR="0" wp14:anchorId="6BB4C024" wp14:editId="35CCBE8B">
                  <wp:extent cx="2817845" cy="3461657"/>
                  <wp:effectExtent l="0" t="0" r="1905" b="5715"/>
                  <wp:docPr id="1210694994" name="Graphique 1">
                    <a:extLst xmlns:a="http://schemas.openxmlformats.org/drawingml/2006/main">
                      <a:ext uri="{FF2B5EF4-FFF2-40B4-BE49-F238E27FC236}">
                        <a16:creationId xmlns:a16="http://schemas.microsoft.com/office/drawing/2014/main" id="{E3D1CE9F-ECCA-AB45-BF08-2C5F36CA5E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c>
          <w:tcPr>
            <w:tcW w:w="4302" w:type="dxa"/>
          </w:tcPr>
          <w:p w14:paraId="224EAC4E" w14:textId="0A8D906F" w:rsidR="00E95AFA" w:rsidRDefault="00E95AFA" w:rsidP="008E0876">
            <w:pPr>
              <w:rPr>
                <w:rFonts w:asciiTheme="minorBidi" w:hAnsiTheme="minorBidi"/>
                <w:sz w:val="28"/>
                <w:szCs w:val="28"/>
              </w:rPr>
            </w:pPr>
            <w:r>
              <w:rPr>
                <w:noProof/>
              </w:rPr>
              <w:drawing>
                <wp:inline distT="0" distB="0" distL="0" distR="0" wp14:anchorId="73EAB3A9" wp14:editId="396A15A2">
                  <wp:extent cx="2877962" cy="3467100"/>
                  <wp:effectExtent l="0" t="0" r="17780" b="0"/>
                  <wp:docPr id="1797791351" name="Graphique 1">
                    <a:extLst xmlns:a="http://schemas.openxmlformats.org/drawingml/2006/main">
                      <a:ext uri="{FF2B5EF4-FFF2-40B4-BE49-F238E27FC236}">
                        <a16:creationId xmlns:a16="http://schemas.microsoft.com/office/drawing/2014/main" id="{93523DED-973A-4062-8594-3CB2BDCEDB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r>
    </w:tbl>
    <w:p w14:paraId="608BFAC1" w14:textId="77777777" w:rsidR="006A0482" w:rsidRDefault="006A0482" w:rsidP="00EC6197">
      <w:pPr>
        <w:rPr>
          <w:rFonts w:asciiTheme="minorBidi" w:hAnsiTheme="minorBidi"/>
          <w:b/>
          <w:bCs/>
          <w:sz w:val="28"/>
          <w:szCs w:val="28"/>
        </w:rPr>
      </w:pPr>
    </w:p>
    <w:p w14:paraId="662F6F88" w14:textId="1BA9EA3E" w:rsidR="00EC6197" w:rsidRPr="00EC6197" w:rsidRDefault="00EC6197" w:rsidP="00EC6197">
      <w:pPr>
        <w:rPr>
          <w:rFonts w:asciiTheme="minorBidi" w:hAnsiTheme="minorBidi"/>
          <w:sz w:val="28"/>
          <w:szCs w:val="28"/>
        </w:rPr>
      </w:pPr>
      <w:r w:rsidRPr="00EC6197">
        <w:rPr>
          <w:rFonts w:asciiTheme="minorBidi" w:hAnsiTheme="minorBidi"/>
          <w:b/>
          <w:bCs/>
          <w:sz w:val="28"/>
          <w:szCs w:val="28"/>
        </w:rPr>
        <w:t>Budget 2025 : Impacts et Perspectives</w:t>
      </w:r>
    </w:p>
    <w:p w14:paraId="44D6A852" w14:textId="77777777" w:rsidR="00EC6197" w:rsidRPr="00EC6197" w:rsidRDefault="00EC6197" w:rsidP="00EC6197">
      <w:pPr>
        <w:rPr>
          <w:rFonts w:asciiTheme="minorBidi" w:hAnsiTheme="minorBidi"/>
          <w:sz w:val="28"/>
          <w:szCs w:val="28"/>
        </w:rPr>
      </w:pPr>
      <w:r w:rsidRPr="00EC6197">
        <w:rPr>
          <w:rFonts w:asciiTheme="minorBidi" w:hAnsiTheme="minorBidi"/>
          <w:sz w:val="28"/>
          <w:szCs w:val="28"/>
        </w:rPr>
        <w:t>Le tableau comparatif révèle un déficit budgétaire significatif de 1.600,5 milliards FCFA, représentant 7,08% du PIB, nettement supérieur au critère de convergence de l'UEMOA fixé à 3%. Cette situation résulte d'une augmentation des dépenses totales de 14,9% contre une croissance modérée des recettes de 2%. Le déséquilibre est particulièrement marqué dans le budget général, où les dépenses (6.395,1 milliards FCFA) dépassent largement les recettes (4.794,6 milliards FCFA), tandis que les Comptes Spéciaux du Trésor maintiennent leur équilibre à 219,7 milliards FCFA.</w:t>
      </w:r>
    </w:p>
    <w:p w14:paraId="7A042B8D" w14:textId="77777777" w:rsidR="00EC6197" w:rsidRPr="00EC6197" w:rsidRDefault="00EC6197" w:rsidP="00EC6197">
      <w:pPr>
        <w:rPr>
          <w:rFonts w:asciiTheme="minorBidi" w:hAnsiTheme="minorBidi"/>
          <w:sz w:val="28"/>
          <w:szCs w:val="28"/>
        </w:rPr>
      </w:pPr>
      <w:r w:rsidRPr="00EC6197">
        <w:rPr>
          <w:rFonts w:asciiTheme="minorBidi" w:hAnsiTheme="minorBidi"/>
          <w:sz w:val="28"/>
          <w:szCs w:val="28"/>
        </w:rPr>
        <w:t>L'avantage principal réside dans l'orientation développementale du budget, avec des investissements massifs dans les secteurs prioritaires. Les dépenses sociales de 1.885 milliards FCFA (34,5% du budget général hors dette) et l'allocation de 1.377 milliards FCFA pour l'éducation démontrent une volonté de développement inclusif. La souveraineté alimentaire bénéficie de 1.070 milliards FCFA, tandis que les infrastructures de communication reçoivent 600 milliards FCFA, créant ainsi des conditions favorables à la croissance économique projetée à 8,8%.</w:t>
      </w:r>
    </w:p>
    <w:p w14:paraId="3EFA655F" w14:textId="77777777" w:rsidR="00EC6197" w:rsidRPr="00EC6197" w:rsidRDefault="00EC6197" w:rsidP="00EC6197">
      <w:pPr>
        <w:rPr>
          <w:rFonts w:asciiTheme="minorBidi" w:hAnsiTheme="minorBidi"/>
          <w:sz w:val="28"/>
          <w:szCs w:val="28"/>
        </w:rPr>
      </w:pPr>
      <w:r w:rsidRPr="00EC6197">
        <w:rPr>
          <w:rFonts w:asciiTheme="minorBidi" w:hAnsiTheme="minorBidi"/>
          <w:sz w:val="28"/>
          <w:szCs w:val="28"/>
        </w:rPr>
        <w:t>Le principal inconvénient est la forte dépendance aux financements externes. Avec des recettes internes couvrant seulement 71% des dépenses totales, le pays doit recourir massivement à l'endettement. Cette situation est aggravée par l'augmentation significative du service de la dette (932,1 milliards FCFA, +61,2%), qui absorbe 19,4% des recettes internes. La baisse des dons (-19,3%) accentue cette vulnérabilité, malgré l'objectif d'accroître la part du financement domestique à 59% à l'horizon 2027.</w:t>
      </w:r>
    </w:p>
    <w:p w14:paraId="270FCAA6" w14:textId="77777777" w:rsidR="00EC6197" w:rsidRPr="00EC6197" w:rsidRDefault="00EC6197" w:rsidP="00EC6197">
      <w:pPr>
        <w:rPr>
          <w:rFonts w:asciiTheme="minorBidi" w:hAnsiTheme="minorBidi"/>
          <w:sz w:val="28"/>
          <w:szCs w:val="28"/>
        </w:rPr>
      </w:pPr>
      <w:r w:rsidRPr="00EC6197">
        <w:rPr>
          <w:rFonts w:asciiTheme="minorBidi" w:hAnsiTheme="minorBidi"/>
          <w:sz w:val="28"/>
          <w:szCs w:val="28"/>
        </w:rPr>
        <w:t>L'impact sur l'économie sénégalaise se manifeste à travers plusieurs indicateurs. Le taux de pression fiscale de 19,3%, bien qu'inférieur aux standards internationaux, reflète un effort de mobilisation des ressources internes. Les nouvelles recettes pétrolières (72,53 milliards FCFA) offrent des perspectives de diversification, mais leur contribution reste modeste (1,5% des recettes totales). La structure des dépenses, avec 30,9% consacrés à l'investissement, devrait soutenir une croissance inclusive.</w:t>
      </w:r>
    </w:p>
    <w:p w14:paraId="215F93D4" w14:textId="77777777" w:rsidR="00EC6197" w:rsidRDefault="00EC6197" w:rsidP="00EC6197">
      <w:pPr>
        <w:rPr>
          <w:rFonts w:asciiTheme="minorBidi" w:hAnsiTheme="minorBidi"/>
          <w:sz w:val="28"/>
          <w:szCs w:val="28"/>
        </w:rPr>
      </w:pPr>
      <w:r w:rsidRPr="00EC6197">
        <w:rPr>
          <w:rFonts w:asciiTheme="minorBidi" w:hAnsiTheme="minorBidi"/>
          <w:sz w:val="28"/>
          <w:szCs w:val="28"/>
        </w:rPr>
        <w:t>À court terme, le déficit élevé présente des risques pour la stabilité macroéconomique. La charge croissante de la dette pourrait compromettre les marges de manœuvre budgétaires futures. Cependant, les réformes structurelles engagées, notamment la modernisation fiscale avec l'introduction de la facturation électronique et le renforcement du contrôle des dépenses publiques, devraient améliorer l'efficacité de la gestion budgétaire. L'objectif de réduction du déficit à 3% d'ici 2027 nécessitera une discipline rigoureuse.</w:t>
      </w:r>
    </w:p>
    <w:p w14:paraId="089086E2" w14:textId="374D3CFD" w:rsidR="00BF0F5D" w:rsidRPr="009E2AAC" w:rsidRDefault="00BF0F5D" w:rsidP="00EC6197">
      <w:pPr>
        <w:rPr>
          <w:rFonts w:asciiTheme="minorBidi" w:hAnsiTheme="minorBidi"/>
          <w:i/>
          <w:iCs/>
        </w:rPr>
      </w:pPr>
      <w:r w:rsidRPr="009E2AAC">
        <w:rPr>
          <w:rFonts w:asciiTheme="minorBidi" w:hAnsiTheme="minorBidi"/>
          <w:i/>
          <w:iCs/>
        </w:rPr>
        <w:t xml:space="preserve">Tableaux comparatifs des recettes et </w:t>
      </w:r>
      <w:r w:rsidR="009E2AAC" w:rsidRPr="009E2AAC">
        <w:rPr>
          <w:rFonts w:asciiTheme="minorBidi" w:hAnsiTheme="minorBidi"/>
          <w:i/>
          <w:iCs/>
        </w:rPr>
        <w:t xml:space="preserve">dépenses </w:t>
      </w:r>
    </w:p>
    <w:tbl>
      <w:tblPr>
        <w:tblStyle w:val="Grilledutableau"/>
        <w:tblW w:w="0" w:type="auto"/>
        <w:tblCellMar>
          <w:left w:w="70" w:type="dxa"/>
          <w:right w:w="70" w:type="dxa"/>
        </w:tblCellMar>
        <w:tblLook w:val="04A0" w:firstRow="1" w:lastRow="0" w:firstColumn="1" w:lastColumn="0" w:noHBand="0" w:noVBand="1"/>
      </w:tblPr>
      <w:tblGrid>
        <w:gridCol w:w="4545"/>
        <w:gridCol w:w="4517"/>
      </w:tblGrid>
      <w:tr w:rsidR="006C1BFA" w:rsidRPr="006C1BFA" w14:paraId="38CD9197" w14:textId="77777777">
        <w:tc>
          <w:tcPr>
            <w:tcW w:w="4545" w:type="dxa"/>
          </w:tcPr>
          <w:p w14:paraId="71779DC1" w14:textId="77777777" w:rsidR="006C1BFA" w:rsidRPr="006C1BFA" w:rsidRDefault="006C1BFA" w:rsidP="006C1BFA">
            <w:pPr>
              <w:spacing w:after="160" w:line="278" w:lineRule="auto"/>
              <w:rPr>
                <w:rFonts w:asciiTheme="minorBidi" w:hAnsiTheme="minorBidi"/>
                <w:sz w:val="28"/>
                <w:szCs w:val="28"/>
              </w:rPr>
            </w:pPr>
            <w:r w:rsidRPr="006C1BFA">
              <w:rPr>
                <w:rFonts w:asciiTheme="minorBidi" w:hAnsiTheme="minorBidi"/>
                <w:noProof/>
                <w:sz w:val="28"/>
                <w:szCs w:val="28"/>
              </w:rPr>
              <w:drawing>
                <wp:inline distT="0" distB="0" distL="0" distR="0" wp14:anchorId="41572586" wp14:editId="47474D16">
                  <wp:extent cx="3018453" cy="2855167"/>
                  <wp:effectExtent l="0" t="0" r="10795" b="2540"/>
                  <wp:docPr id="442037819" name="Graphique 1">
                    <a:extLst xmlns:a="http://schemas.openxmlformats.org/drawingml/2006/main">
                      <a:ext uri="{FF2B5EF4-FFF2-40B4-BE49-F238E27FC236}">
                        <a16:creationId xmlns:a16="http://schemas.microsoft.com/office/drawing/2014/main" id="{02AE970C-4ED6-6D5B-17F7-B9E7505DF1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517" w:type="dxa"/>
          </w:tcPr>
          <w:p w14:paraId="14EBE56F" w14:textId="77777777" w:rsidR="006C1BFA" w:rsidRPr="006C1BFA" w:rsidRDefault="006C1BFA" w:rsidP="006C1BFA">
            <w:pPr>
              <w:spacing w:after="160" w:line="278" w:lineRule="auto"/>
              <w:rPr>
                <w:rFonts w:asciiTheme="minorBidi" w:hAnsiTheme="minorBidi"/>
                <w:sz w:val="28"/>
                <w:szCs w:val="28"/>
              </w:rPr>
            </w:pPr>
            <w:r w:rsidRPr="006C1BFA">
              <w:rPr>
                <w:rFonts w:asciiTheme="minorBidi" w:hAnsiTheme="minorBidi"/>
                <w:noProof/>
                <w:sz w:val="28"/>
                <w:szCs w:val="28"/>
              </w:rPr>
              <w:drawing>
                <wp:inline distT="0" distB="0" distL="0" distR="0" wp14:anchorId="156522CE" wp14:editId="63F4FC32">
                  <wp:extent cx="3004017" cy="2743200"/>
                  <wp:effectExtent l="0" t="0" r="6350" b="0"/>
                  <wp:docPr id="1923452295" name="Graphique 1">
                    <a:extLst xmlns:a="http://schemas.openxmlformats.org/drawingml/2006/main">
                      <a:ext uri="{FF2B5EF4-FFF2-40B4-BE49-F238E27FC236}">
                        <a16:creationId xmlns:a16="http://schemas.microsoft.com/office/drawing/2014/main" id="{691367CC-F775-4103-982C-D3D420D6C5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bl>
    <w:p w14:paraId="4C466561" w14:textId="77777777" w:rsidR="00F029DC" w:rsidRPr="00EC6197" w:rsidRDefault="00F029DC" w:rsidP="00EC6197">
      <w:pPr>
        <w:rPr>
          <w:rFonts w:asciiTheme="minorBidi" w:hAnsiTheme="minorBidi"/>
          <w:sz w:val="28"/>
          <w:szCs w:val="28"/>
        </w:rPr>
      </w:pPr>
    </w:p>
    <w:p w14:paraId="633240B5" w14:textId="326E6730" w:rsidR="00A0009B" w:rsidRPr="00AC5CE1" w:rsidRDefault="00EC6197" w:rsidP="0091040F">
      <w:pPr>
        <w:rPr>
          <w:rFonts w:asciiTheme="minorBidi" w:hAnsiTheme="minorBidi"/>
          <w:sz w:val="28"/>
          <w:szCs w:val="28"/>
        </w:rPr>
      </w:pPr>
      <w:r w:rsidRPr="00EC6197">
        <w:rPr>
          <w:rFonts w:asciiTheme="minorBidi" w:hAnsiTheme="minorBidi"/>
          <w:sz w:val="28"/>
          <w:szCs w:val="28"/>
        </w:rPr>
        <w:t>À long terme, les investissements massifs dans les infrastructures et le capital humain pourraient générer des retombées positives. La territorialisation du développement à travers huit pôles économiques, soutenue par l'augmentation des dotations aux collectivités territoriales (79,6 milliards FCFA), devrait favoriser une croissance plus équilibrée. L'accent mis sur la souveraineté alimentaire et énergétique, combiné au développement du secteur privé national, pourrait réduire la vulnérabilité externe de l'économie sénégala</w:t>
      </w:r>
      <w:r w:rsidR="00C06E6D">
        <w:rPr>
          <w:rFonts w:asciiTheme="minorBidi" w:hAnsiTheme="minorBidi"/>
          <w:sz w:val="28"/>
          <w:szCs w:val="28"/>
        </w:rPr>
        <w:t>ise.</w:t>
      </w:r>
    </w:p>
    <w:p w14:paraId="50320E4F" w14:textId="6AB9193D" w:rsidR="00AC5CE1" w:rsidRDefault="00146EDB" w:rsidP="00AC5CE1">
      <w:pPr>
        <w:rPr>
          <w:rFonts w:asciiTheme="minorBidi" w:hAnsiTheme="minorBidi"/>
          <w:sz w:val="28"/>
          <w:szCs w:val="28"/>
        </w:rPr>
      </w:pPr>
      <w:r>
        <w:rPr>
          <w:noProof/>
        </w:rPr>
        <w:drawing>
          <wp:inline distT="0" distB="0" distL="0" distR="0" wp14:anchorId="2C45F078" wp14:editId="6FB16082">
            <wp:extent cx="5565710" cy="2495550"/>
            <wp:effectExtent l="0" t="0" r="16510" b="0"/>
            <wp:docPr id="1461126665" name="Graphique 1">
              <a:extLst xmlns:a="http://schemas.openxmlformats.org/drawingml/2006/main">
                <a:ext uri="{FF2B5EF4-FFF2-40B4-BE49-F238E27FC236}">
                  <a16:creationId xmlns:a16="http://schemas.microsoft.com/office/drawing/2014/main" id="{1A056DD9-65A1-4BF2-944B-86258A31D9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6EE741D" w14:textId="1B9CF562" w:rsidR="00AD2034" w:rsidRPr="00A72776" w:rsidRDefault="00AD2034" w:rsidP="00F33AB9">
      <w:pPr>
        <w:rPr>
          <w:rFonts w:asciiTheme="minorBidi" w:hAnsiTheme="minorBidi"/>
          <w:sz w:val="28"/>
          <w:szCs w:val="28"/>
        </w:rPr>
      </w:pPr>
      <w:r w:rsidRPr="00A72776">
        <w:rPr>
          <w:rStyle w:val="lev"/>
          <w:rFonts w:asciiTheme="minorBidi" w:hAnsiTheme="minorBidi"/>
          <w:sz w:val="28"/>
          <w:szCs w:val="28"/>
        </w:rPr>
        <w:t>Analyse de la Structure de la Dette Publique du Sénégal 2025</w:t>
      </w:r>
    </w:p>
    <w:p w14:paraId="0AC87BD9" w14:textId="77777777" w:rsidR="00E34580" w:rsidRDefault="00AD2034" w:rsidP="00AD2034">
      <w:pPr>
        <w:pStyle w:val="whitespace-pre-wrap"/>
        <w:rPr>
          <w:rStyle w:val="lev"/>
          <w:rFonts w:asciiTheme="minorBidi" w:eastAsiaTheme="majorEastAsia" w:hAnsiTheme="minorBidi" w:cstheme="minorBidi"/>
          <w:sz w:val="28"/>
          <w:szCs w:val="28"/>
        </w:rPr>
      </w:pPr>
      <w:r w:rsidRPr="00A72776">
        <w:rPr>
          <w:rStyle w:val="lev"/>
          <w:rFonts w:asciiTheme="minorBidi" w:eastAsiaTheme="majorEastAsia" w:hAnsiTheme="minorBidi" w:cstheme="minorBidi"/>
          <w:sz w:val="28"/>
          <w:szCs w:val="28"/>
        </w:rPr>
        <w:t>Vue Globale de la Dette</w:t>
      </w:r>
    </w:p>
    <w:p w14:paraId="04E9321D" w14:textId="7D679B94" w:rsidR="00AD2034" w:rsidRDefault="00AD2034" w:rsidP="00AD2034">
      <w:pPr>
        <w:pStyle w:val="whitespace-pre-wrap"/>
        <w:rPr>
          <w:rFonts w:asciiTheme="minorBidi" w:hAnsiTheme="minorBidi" w:cstheme="minorBidi"/>
          <w:sz w:val="28"/>
          <w:szCs w:val="28"/>
        </w:rPr>
      </w:pPr>
      <w:r w:rsidRPr="00A72776">
        <w:rPr>
          <w:rFonts w:asciiTheme="minorBidi" w:hAnsiTheme="minorBidi" w:cstheme="minorBidi"/>
          <w:sz w:val="28"/>
          <w:szCs w:val="28"/>
        </w:rPr>
        <w:t>Le service total de la dette publique en 2025 s'élève à 3.855,52 milliards FCFA, réparti de manière quasi équitable entre dette extérieure (1.929,71 milliards FCFA, 50,1%) et dette intérieure (1.925,81 milliards FCFA, 49,9%). Cette répartition reflète une stratégie de diversification des sources de financement. Le principal (2.923,44 milliards FCFA) représente 75,8% du service total, tandis que les intérêts (932,08 milliards FCFA) en constituent 24,2%. Cette structure révèle un coût relativement élevé du service de la dette, absorbant environ 19,4% des recettes totales prévues.</w:t>
      </w:r>
    </w:p>
    <w:p w14:paraId="503E8289" w14:textId="26062ED8" w:rsidR="00F753C3" w:rsidRPr="00A72776" w:rsidRDefault="003D46B4" w:rsidP="003D46B4">
      <w:pPr>
        <w:pStyle w:val="whitespace-pre-wrap"/>
        <w:jc w:val="center"/>
        <w:rPr>
          <w:rFonts w:asciiTheme="minorBidi" w:hAnsiTheme="minorBidi" w:cstheme="minorBidi"/>
          <w:sz w:val="28"/>
          <w:szCs w:val="28"/>
        </w:rPr>
      </w:pPr>
      <w:r>
        <w:rPr>
          <w:noProof/>
        </w:rPr>
        <w:drawing>
          <wp:inline distT="0" distB="0" distL="0" distR="0" wp14:anchorId="563FD4AE" wp14:editId="74956829">
            <wp:extent cx="5565269" cy="2743200"/>
            <wp:effectExtent l="0" t="0" r="16510" b="0"/>
            <wp:docPr id="281795063" name="Graphique 1">
              <a:extLst xmlns:a="http://schemas.openxmlformats.org/drawingml/2006/main">
                <a:ext uri="{FF2B5EF4-FFF2-40B4-BE49-F238E27FC236}">
                  <a16:creationId xmlns:a16="http://schemas.microsoft.com/office/drawing/2014/main" id="{CE83EC6E-D881-634F-29A8-E0AAD311111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00C3A6D" w14:textId="77777777" w:rsidR="00E34580" w:rsidRDefault="00AD2034" w:rsidP="00AD2034">
      <w:pPr>
        <w:pStyle w:val="whitespace-pre-wrap"/>
        <w:rPr>
          <w:rStyle w:val="lev"/>
          <w:rFonts w:asciiTheme="minorBidi" w:eastAsiaTheme="majorEastAsia" w:hAnsiTheme="minorBidi" w:cstheme="minorBidi"/>
          <w:sz w:val="28"/>
          <w:szCs w:val="28"/>
        </w:rPr>
      </w:pPr>
      <w:r w:rsidRPr="00A72776">
        <w:rPr>
          <w:rStyle w:val="lev"/>
          <w:rFonts w:asciiTheme="minorBidi" w:eastAsiaTheme="majorEastAsia" w:hAnsiTheme="minorBidi" w:cstheme="minorBidi"/>
          <w:sz w:val="28"/>
          <w:szCs w:val="28"/>
        </w:rPr>
        <w:t xml:space="preserve">Composition de la Dette Extérieure </w:t>
      </w:r>
    </w:p>
    <w:p w14:paraId="01343125" w14:textId="0FEC8738" w:rsidR="00AD2034" w:rsidRDefault="00AD2034" w:rsidP="00AD2034">
      <w:pPr>
        <w:pStyle w:val="whitespace-pre-wrap"/>
        <w:rPr>
          <w:rFonts w:asciiTheme="minorBidi" w:hAnsiTheme="minorBidi" w:cstheme="minorBidi"/>
          <w:sz w:val="28"/>
          <w:szCs w:val="28"/>
        </w:rPr>
      </w:pPr>
      <w:r w:rsidRPr="00A72776">
        <w:rPr>
          <w:rFonts w:asciiTheme="minorBidi" w:hAnsiTheme="minorBidi" w:cstheme="minorBidi"/>
          <w:sz w:val="28"/>
          <w:szCs w:val="28"/>
        </w:rPr>
        <w:t>L'analyse de la dette extérieure montre une prédominance des créanciers commerciaux qui représentent 43,4% (838,11 milliards FCFA) du total. Les créanciers multilatéraux et bilatéraux représentent respectivement 20,3% (392,03 milliards FCFA) et 19,9% (383,63 milliards FCFA). Les crédits à l'exportation constituent 14,3% (275,98 milliards FCFA) du portefeuille. Cette structure, dominée par les créanciers commerciaux, suggère un coût moyen plus élevé du financement extérieur, les prêts commerciaux étant généralement moins concessionnels que ceux des partenaires multilatéraux.</w:t>
      </w:r>
    </w:p>
    <w:p w14:paraId="5F6DDAF4" w14:textId="6DC1BD42" w:rsidR="00397869" w:rsidRDefault="009A7A55" w:rsidP="00AD2034">
      <w:pPr>
        <w:pStyle w:val="whitespace-pre-wrap"/>
        <w:rPr>
          <w:rFonts w:asciiTheme="minorBidi" w:hAnsiTheme="minorBidi" w:cstheme="minorBidi"/>
          <w:sz w:val="28"/>
          <w:szCs w:val="28"/>
        </w:rPr>
      </w:pPr>
      <w:r>
        <w:rPr>
          <w:noProof/>
        </w:rPr>
        <w:drawing>
          <wp:inline distT="0" distB="0" distL="0" distR="0" wp14:anchorId="3C86817E" wp14:editId="24F7BA1F">
            <wp:extent cx="5607698" cy="2743200"/>
            <wp:effectExtent l="0" t="0" r="12065" b="0"/>
            <wp:docPr id="1403651601" name="Graphique 1">
              <a:extLst xmlns:a="http://schemas.openxmlformats.org/drawingml/2006/main">
                <a:ext uri="{FF2B5EF4-FFF2-40B4-BE49-F238E27FC236}">
                  <a16:creationId xmlns:a16="http://schemas.microsoft.com/office/drawing/2014/main" id="{D3694C7D-5C40-8760-A61D-9F3A3CF786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FA6A000" w14:textId="77777777" w:rsidR="00E34580" w:rsidRDefault="00A805BC" w:rsidP="00A805BC">
      <w:pPr>
        <w:pStyle w:val="whitespace-pre-wrap"/>
        <w:rPr>
          <w:rFonts w:asciiTheme="minorBidi" w:hAnsiTheme="minorBidi" w:cstheme="minorBidi"/>
          <w:b/>
          <w:bCs/>
          <w:sz w:val="28"/>
          <w:szCs w:val="28"/>
        </w:rPr>
      </w:pPr>
      <w:r w:rsidRPr="00A805BC">
        <w:rPr>
          <w:rFonts w:asciiTheme="minorBidi" w:hAnsiTheme="minorBidi" w:cstheme="minorBidi"/>
          <w:b/>
          <w:bCs/>
          <w:sz w:val="28"/>
          <w:szCs w:val="28"/>
        </w:rPr>
        <w:t xml:space="preserve">Structure de la Dette Intérieure </w:t>
      </w:r>
    </w:p>
    <w:p w14:paraId="028D044C" w14:textId="419A1865" w:rsidR="00B660B2" w:rsidRDefault="00A805BC" w:rsidP="00A805BC">
      <w:pPr>
        <w:pStyle w:val="whitespace-pre-wrap"/>
        <w:rPr>
          <w:rFonts w:asciiTheme="minorBidi" w:hAnsiTheme="minorBidi" w:cstheme="minorBidi"/>
          <w:sz w:val="28"/>
          <w:szCs w:val="28"/>
        </w:rPr>
      </w:pPr>
      <w:r w:rsidRPr="00A805BC">
        <w:rPr>
          <w:rFonts w:asciiTheme="minorBidi" w:hAnsiTheme="minorBidi" w:cstheme="minorBidi"/>
          <w:sz w:val="28"/>
          <w:szCs w:val="28"/>
        </w:rPr>
        <w:t>La dette intérieure est principalement constituée d'instruments de marché, avec les obligations du Trésor représentant 39% (751,21 milliards FCFA) et les bons du Trésor 20,5% (394,78 milliards FCFA). Les crédits bancaires constituent 14% (270 milliards FCFA) du total. Cette structure reflète une stratégie de développement du marché financier domestique, conformément à l'objectif d'atteindre 59% de financement domestique à l'horizon 2027. La diversification des instruments (APE, Sukuk) témoigne d'une volonté d'élargir la base d'investisseurs.</w:t>
      </w:r>
    </w:p>
    <w:p w14:paraId="46A9BD59" w14:textId="1AA9A6BA" w:rsidR="00AB3492" w:rsidRDefault="00EA43F0" w:rsidP="00A805BC">
      <w:pPr>
        <w:pStyle w:val="whitespace-pre-wrap"/>
        <w:rPr>
          <w:rFonts w:asciiTheme="minorBidi" w:hAnsiTheme="minorBidi" w:cstheme="minorBidi"/>
          <w:sz w:val="28"/>
          <w:szCs w:val="28"/>
        </w:rPr>
      </w:pPr>
      <w:r>
        <w:rPr>
          <w:noProof/>
        </w:rPr>
        <w:drawing>
          <wp:inline distT="0" distB="0" distL="0" distR="0" wp14:anchorId="796DF234" wp14:editId="427344DB">
            <wp:extent cx="5896610" cy="2971800"/>
            <wp:effectExtent l="0" t="0" r="8890" b="0"/>
            <wp:docPr id="1763569969" name="Graphique 1">
              <a:extLst xmlns:a="http://schemas.openxmlformats.org/drawingml/2006/main">
                <a:ext uri="{FF2B5EF4-FFF2-40B4-BE49-F238E27FC236}">
                  <a16:creationId xmlns:a16="http://schemas.microsoft.com/office/drawing/2014/main" id="{B5F0AAE3-216F-50E7-24B2-45E20A7F22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18CFA50" w14:textId="490FE6D5" w:rsidR="00CE716C" w:rsidRPr="00CE716C" w:rsidRDefault="00EA61FF" w:rsidP="00CE716C">
      <w:pPr>
        <w:pStyle w:val="whitespace-pre-wrap"/>
        <w:rPr>
          <w:rFonts w:asciiTheme="minorBidi" w:hAnsiTheme="minorBidi"/>
          <w:sz w:val="28"/>
          <w:szCs w:val="28"/>
        </w:rPr>
      </w:pPr>
      <w:r>
        <w:rPr>
          <w:rFonts w:asciiTheme="minorBidi" w:hAnsiTheme="minorBidi"/>
          <w:b/>
          <w:bCs/>
          <w:sz w:val="28"/>
          <w:szCs w:val="28"/>
        </w:rPr>
        <w:t>C</w:t>
      </w:r>
      <w:r w:rsidR="00CE716C" w:rsidRPr="00CE716C">
        <w:rPr>
          <w:rFonts w:asciiTheme="minorBidi" w:hAnsiTheme="minorBidi"/>
          <w:b/>
          <w:bCs/>
          <w:sz w:val="28"/>
          <w:szCs w:val="28"/>
        </w:rPr>
        <w:t>onclusion</w:t>
      </w:r>
    </w:p>
    <w:p w14:paraId="386B8084" w14:textId="77777777" w:rsidR="00CE716C" w:rsidRPr="00CE716C" w:rsidRDefault="00CE716C" w:rsidP="00CE716C">
      <w:pPr>
        <w:pStyle w:val="whitespace-pre-wrap"/>
        <w:rPr>
          <w:rFonts w:asciiTheme="minorBidi" w:hAnsiTheme="minorBidi"/>
          <w:sz w:val="28"/>
          <w:szCs w:val="28"/>
        </w:rPr>
      </w:pPr>
      <w:r w:rsidRPr="00CE716C">
        <w:rPr>
          <w:rFonts w:asciiTheme="minorBidi" w:hAnsiTheme="minorBidi"/>
          <w:sz w:val="28"/>
          <w:szCs w:val="28"/>
        </w:rPr>
        <w:t>Pour renforcer l'efficacité de ce budget, je propose trois axes d'amélioration prioritaires. Premièrement, il est impératif d'accélérer la réforme de la gouvernance financière pour réduire le déficit budgétaire de 7,08% à 3% d'ici 2027. Cela passe par une optimisation de la collecte fiscale, une rationalisation des dépenses courantes et une meilleure efficience des investissements publics. La digitalisation de l'administration fiscale et la facturation électronique constituent des leviers essentiels.</w:t>
      </w:r>
    </w:p>
    <w:p w14:paraId="0F2E1D4D" w14:textId="77777777" w:rsidR="00CE716C" w:rsidRPr="00CE716C" w:rsidRDefault="00CE716C" w:rsidP="00CE716C">
      <w:pPr>
        <w:pStyle w:val="whitespace-pre-wrap"/>
        <w:rPr>
          <w:rFonts w:asciiTheme="minorBidi" w:hAnsiTheme="minorBidi"/>
          <w:sz w:val="28"/>
          <w:szCs w:val="28"/>
        </w:rPr>
      </w:pPr>
      <w:r w:rsidRPr="00CE716C">
        <w:rPr>
          <w:rFonts w:asciiTheme="minorBidi" w:hAnsiTheme="minorBidi"/>
          <w:sz w:val="28"/>
          <w:szCs w:val="28"/>
        </w:rPr>
        <w:t>Deuxièmement, nous devons renforcer la stratégie de financement domestique pour réduire notre dépendance aux financements extérieurs. L'objectif de 59% de financement domestique à l'horizon 2027 est réaliste mais nécessite des actions concrètes : développement des "Diaspora Bonds", dynamisation du marché financier régional, et mobilisation de l'épargne nationale. Une attention particulière doit être portée à la restructuration de la dette pour réduire son coût qui absorbe actuellement 19,4% des recettes.</w:t>
      </w:r>
    </w:p>
    <w:p w14:paraId="7726C22D" w14:textId="3C68CDCD" w:rsidR="00CE716C" w:rsidRDefault="00CE716C" w:rsidP="00AB446B">
      <w:pPr>
        <w:pStyle w:val="whitespace-pre-wrap"/>
        <w:rPr>
          <w:rFonts w:asciiTheme="minorBidi" w:hAnsiTheme="minorBidi"/>
          <w:sz w:val="28"/>
          <w:szCs w:val="28"/>
        </w:rPr>
      </w:pPr>
      <w:r w:rsidRPr="00CE716C">
        <w:rPr>
          <w:rFonts w:asciiTheme="minorBidi" w:hAnsiTheme="minorBidi"/>
          <w:sz w:val="28"/>
          <w:szCs w:val="28"/>
        </w:rPr>
        <w:t xml:space="preserve">Enfin, la territorialisation du développement à travers les huit pôles économiques doit s'accompagner d'un véritable transfert de compétences et de ressources aux collectivités territoriales. Les dotations actuelles (FECT : 42,7 milliards FCFA, FDD : 36,9 milliards FCFA) restent insuffisantes pour impulser un développement équilibré. Il est crucial d'accélérer la décentralisation fiscale et de renforcer les capacités de gestion des </w:t>
      </w:r>
      <w:r w:rsidR="00AB446B" w:rsidRPr="00AB446B">
        <w:rPr>
          <w:rFonts w:asciiTheme="minorBidi" w:hAnsiTheme="minorBidi"/>
          <w:sz w:val="28"/>
          <w:szCs w:val="28"/>
        </w:rPr>
        <w:t>collectivités locales pour une mise en œuvre efficace de notre projet de transformation.</w:t>
      </w:r>
    </w:p>
    <w:p w14:paraId="165047A8" w14:textId="73F969FB" w:rsidR="00EF2BED" w:rsidRDefault="00EF2BED" w:rsidP="00AB446B">
      <w:pPr>
        <w:pStyle w:val="whitespace-pre-wrap"/>
        <w:rPr>
          <w:rFonts w:asciiTheme="minorBidi" w:hAnsiTheme="minorBidi"/>
          <w:sz w:val="28"/>
          <w:szCs w:val="28"/>
        </w:rPr>
      </w:pPr>
    </w:p>
    <w:p w14:paraId="5DD9BAC1" w14:textId="74E74B8A" w:rsidR="00EF2BED" w:rsidRPr="00CE716C" w:rsidRDefault="004B0676" w:rsidP="00AB446B">
      <w:pPr>
        <w:pStyle w:val="whitespace-pre-wrap"/>
        <w:rPr>
          <w:rFonts w:asciiTheme="minorBidi" w:hAnsiTheme="minorBidi"/>
          <w:sz w:val="28"/>
          <w:szCs w:val="28"/>
        </w:rPr>
      </w:pPr>
      <w:r>
        <w:rPr>
          <w:rFonts w:asciiTheme="minorBidi" w:hAnsiTheme="minorBidi"/>
          <w:sz w:val="28"/>
          <w:szCs w:val="28"/>
        </w:rPr>
        <w:t xml:space="preserve">                </w:t>
      </w:r>
      <w:r w:rsidR="006204BD">
        <w:rPr>
          <w:rFonts w:asciiTheme="minorBidi" w:hAnsiTheme="minorBidi"/>
          <w:noProof/>
          <w:sz w:val="28"/>
          <w:szCs w:val="28"/>
          <w14:ligatures w14:val="standardContextual"/>
        </w:rPr>
        <w:drawing>
          <wp:inline distT="0" distB="0" distL="0" distR="0" wp14:anchorId="6849E9E3" wp14:editId="323CFE8A">
            <wp:extent cx="5760720" cy="2647950"/>
            <wp:effectExtent l="0" t="0" r="0" b="0"/>
            <wp:docPr id="256625599" name="Image 1" descr="Une image contenant croquis, dessin, Dessin d’enfant, 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625599" name="Image 1" descr="Une image contenant croquis, dessin, Dessin d’enfant, art&#10;&#10;Description générée automatiquement"/>
                    <pic:cNvPicPr/>
                  </pic:nvPicPr>
                  <pic:blipFill>
                    <a:blip r:embed="rId15">
                      <a:extLst>
                        <a:ext uri="{28A0092B-C50C-407E-A947-70E740481C1C}">
                          <a14:useLocalDpi xmlns:a14="http://schemas.microsoft.com/office/drawing/2010/main" val="0"/>
                        </a:ext>
                      </a:extLst>
                    </a:blip>
                    <a:stretch>
                      <a:fillRect/>
                    </a:stretch>
                  </pic:blipFill>
                  <pic:spPr>
                    <a:xfrm>
                      <a:off x="0" y="0"/>
                      <a:ext cx="5760720" cy="2647950"/>
                    </a:xfrm>
                    <a:prstGeom prst="rect">
                      <a:avLst/>
                    </a:prstGeom>
                  </pic:spPr>
                </pic:pic>
              </a:graphicData>
            </a:graphic>
          </wp:inline>
        </w:drawing>
      </w:r>
    </w:p>
    <w:p w14:paraId="54233A79" w14:textId="77777777" w:rsidR="00CE716C" w:rsidRPr="00A72776" w:rsidRDefault="00CE716C" w:rsidP="00A805BC">
      <w:pPr>
        <w:pStyle w:val="whitespace-pre-wrap"/>
        <w:rPr>
          <w:rFonts w:asciiTheme="minorBidi" w:hAnsiTheme="minorBidi" w:cstheme="minorBidi"/>
          <w:sz w:val="28"/>
          <w:szCs w:val="28"/>
        </w:rPr>
      </w:pPr>
    </w:p>
    <w:p w14:paraId="5B649614" w14:textId="77777777" w:rsidR="001E5E74" w:rsidRPr="00A72776" w:rsidRDefault="001E5E74">
      <w:pPr>
        <w:rPr>
          <w:rFonts w:asciiTheme="minorBidi" w:hAnsiTheme="minorBidi"/>
          <w:sz w:val="28"/>
          <w:szCs w:val="28"/>
        </w:rPr>
      </w:pPr>
    </w:p>
    <w:sectPr w:rsidR="001E5E74" w:rsidRPr="00A727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notTrueType/>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E0C5A"/>
    <w:multiLevelType w:val="multilevel"/>
    <w:tmpl w:val="2296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956B37"/>
    <w:multiLevelType w:val="multilevel"/>
    <w:tmpl w:val="BD1C5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856728"/>
    <w:multiLevelType w:val="hybridMultilevel"/>
    <w:tmpl w:val="78E205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1790B59"/>
    <w:multiLevelType w:val="multilevel"/>
    <w:tmpl w:val="1CBCC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2C1B4E"/>
    <w:multiLevelType w:val="multilevel"/>
    <w:tmpl w:val="6A1C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5664502">
    <w:abstractNumId w:val="3"/>
  </w:num>
  <w:num w:numId="2" w16cid:durableId="524099175">
    <w:abstractNumId w:val="4"/>
  </w:num>
  <w:num w:numId="3" w16cid:durableId="1842741502">
    <w:abstractNumId w:val="0"/>
  </w:num>
  <w:num w:numId="4" w16cid:durableId="2005929703">
    <w:abstractNumId w:val="1"/>
  </w:num>
  <w:num w:numId="5" w16cid:durableId="7596391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CE1"/>
    <w:rsid w:val="0000196B"/>
    <w:rsid w:val="0000568A"/>
    <w:rsid w:val="000061D0"/>
    <w:rsid w:val="000437F2"/>
    <w:rsid w:val="00061D2F"/>
    <w:rsid w:val="00065CAB"/>
    <w:rsid w:val="00080D91"/>
    <w:rsid w:val="00085FA9"/>
    <w:rsid w:val="000A2A33"/>
    <w:rsid w:val="00107D25"/>
    <w:rsid w:val="00110346"/>
    <w:rsid w:val="001270BE"/>
    <w:rsid w:val="00146EDB"/>
    <w:rsid w:val="00150C1B"/>
    <w:rsid w:val="00152BA1"/>
    <w:rsid w:val="00156113"/>
    <w:rsid w:val="00174A3A"/>
    <w:rsid w:val="001B4FE7"/>
    <w:rsid w:val="001C2782"/>
    <w:rsid w:val="001E5E74"/>
    <w:rsid w:val="002040A3"/>
    <w:rsid w:val="002261C8"/>
    <w:rsid w:val="00231472"/>
    <w:rsid w:val="00235D39"/>
    <w:rsid w:val="00244816"/>
    <w:rsid w:val="002513E7"/>
    <w:rsid w:val="002626CE"/>
    <w:rsid w:val="00280A09"/>
    <w:rsid w:val="002862E8"/>
    <w:rsid w:val="00313629"/>
    <w:rsid w:val="003452DE"/>
    <w:rsid w:val="00350E6C"/>
    <w:rsid w:val="00397869"/>
    <w:rsid w:val="003C6626"/>
    <w:rsid w:val="003D46B4"/>
    <w:rsid w:val="003F56AF"/>
    <w:rsid w:val="00402C12"/>
    <w:rsid w:val="00431633"/>
    <w:rsid w:val="00436A4E"/>
    <w:rsid w:val="00453527"/>
    <w:rsid w:val="00455F40"/>
    <w:rsid w:val="00456A15"/>
    <w:rsid w:val="004745AD"/>
    <w:rsid w:val="004B0676"/>
    <w:rsid w:val="004E6C1A"/>
    <w:rsid w:val="00527A16"/>
    <w:rsid w:val="00571300"/>
    <w:rsid w:val="0057188B"/>
    <w:rsid w:val="005A4557"/>
    <w:rsid w:val="005C3902"/>
    <w:rsid w:val="005E76DE"/>
    <w:rsid w:val="005E7DB1"/>
    <w:rsid w:val="006204BD"/>
    <w:rsid w:val="006308DF"/>
    <w:rsid w:val="006761F0"/>
    <w:rsid w:val="006A0482"/>
    <w:rsid w:val="006B7E3A"/>
    <w:rsid w:val="006C1BFA"/>
    <w:rsid w:val="006C31F9"/>
    <w:rsid w:val="006E67F8"/>
    <w:rsid w:val="0071199D"/>
    <w:rsid w:val="00713BBE"/>
    <w:rsid w:val="00741545"/>
    <w:rsid w:val="00761CAC"/>
    <w:rsid w:val="00764682"/>
    <w:rsid w:val="00784F3A"/>
    <w:rsid w:val="007D05D2"/>
    <w:rsid w:val="008060D4"/>
    <w:rsid w:val="00841F4F"/>
    <w:rsid w:val="00842145"/>
    <w:rsid w:val="00846216"/>
    <w:rsid w:val="00857C43"/>
    <w:rsid w:val="00897438"/>
    <w:rsid w:val="008B4AAC"/>
    <w:rsid w:val="008C17C5"/>
    <w:rsid w:val="008C264B"/>
    <w:rsid w:val="008D57B9"/>
    <w:rsid w:val="008E0876"/>
    <w:rsid w:val="008E2655"/>
    <w:rsid w:val="0091040F"/>
    <w:rsid w:val="00927FCA"/>
    <w:rsid w:val="00932B22"/>
    <w:rsid w:val="009924CB"/>
    <w:rsid w:val="009A7A55"/>
    <w:rsid w:val="009E2AAC"/>
    <w:rsid w:val="00A0009B"/>
    <w:rsid w:val="00A30017"/>
    <w:rsid w:val="00A72776"/>
    <w:rsid w:val="00A805BC"/>
    <w:rsid w:val="00AB3492"/>
    <w:rsid w:val="00AB446B"/>
    <w:rsid w:val="00AC5CE1"/>
    <w:rsid w:val="00AC70A7"/>
    <w:rsid w:val="00AD2034"/>
    <w:rsid w:val="00AF6B26"/>
    <w:rsid w:val="00B14EA0"/>
    <w:rsid w:val="00B660B2"/>
    <w:rsid w:val="00B85E80"/>
    <w:rsid w:val="00BA071F"/>
    <w:rsid w:val="00BB44C5"/>
    <w:rsid w:val="00BD2FB8"/>
    <w:rsid w:val="00BF0F5D"/>
    <w:rsid w:val="00BF6BE7"/>
    <w:rsid w:val="00C06E6D"/>
    <w:rsid w:val="00C3011B"/>
    <w:rsid w:val="00C370BD"/>
    <w:rsid w:val="00C91F56"/>
    <w:rsid w:val="00C933DE"/>
    <w:rsid w:val="00CC4F20"/>
    <w:rsid w:val="00CE716C"/>
    <w:rsid w:val="00D00CD4"/>
    <w:rsid w:val="00D047F0"/>
    <w:rsid w:val="00D117E5"/>
    <w:rsid w:val="00D17E34"/>
    <w:rsid w:val="00D27A45"/>
    <w:rsid w:val="00D407AC"/>
    <w:rsid w:val="00D6330F"/>
    <w:rsid w:val="00DD0692"/>
    <w:rsid w:val="00E30D3C"/>
    <w:rsid w:val="00E34580"/>
    <w:rsid w:val="00E95AFA"/>
    <w:rsid w:val="00EA43F0"/>
    <w:rsid w:val="00EA61FF"/>
    <w:rsid w:val="00EC1FCB"/>
    <w:rsid w:val="00EC6197"/>
    <w:rsid w:val="00ED0B96"/>
    <w:rsid w:val="00ED6C30"/>
    <w:rsid w:val="00EE11F8"/>
    <w:rsid w:val="00EE6383"/>
    <w:rsid w:val="00EF12E7"/>
    <w:rsid w:val="00EF2BED"/>
    <w:rsid w:val="00EF7CAF"/>
    <w:rsid w:val="00F029DC"/>
    <w:rsid w:val="00F20A87"/>
    <w:rsid w:val="00F20B7C"/>
    <w:rsid w:val="00F33AB9"/>
    <w:rsid w:val="00F4026C"/>
    <w:rsid w:val="00F46E6A"/>
    <w:rsid w:val="00F6487C"/>
    <w:rsid w:val="00F753C3"/>
    <w:rsid w:val="00FA30AE"/>
    <w:rsid w:val="00FB3274"/>
    <w:rsid w:val="00FB69E3"/>
    <w:rsid w:val="00FC6799"/>
    <w:rsid w:val="00FC7EB4"/>
    <w:rsid w:val="00FF237D"/>
    <w:rsid w:val="00FF381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58D6F"/>
  <w15:chartTrackingRefBased/>
  <w15:docId w15:val="{AFC5745F-B0A2-8A46-A191-F41A494CD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1BFA"/>
  </w:style>
  <w:style w:type="paragraph" w:styleId="Titre1">
    <w:name w:val="heading 1"/>
    <w:basedOn w:val="Normal"/>
    <w:next w:val="Normal"/>
    <w:link w:val="Titre1Car"/>
    <w:uiPriority w:val="9"/>
    <w:qFormat/>
    <w:rsid w:val="00AC5C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C5C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C5CE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C5CE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C5CE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C5CE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C5CE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C5CE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C5CE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C5CE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C5CE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C5CE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C5CE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C5CE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C5CE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C5CE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C5CE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C5CE1"/>
    <w:rPr>
      <w:rFonts w:eastAsiaTheme="majorEastAsia" w:cstheme="majorBidi"/>
      <w:color w:val="272727" w:themeColor="text1" w:themeTint="D8"/>
    </w:rPr>
  </w:style>
  <w:style w:type="paragraph" w:styleId="Titre">
    <w:name w:val="Title"/>
    <w:basedOn w:val="Normal"/>
    <w:next w:val="Normal"/>
    <w:link w:val="TitreCar"/>
    <w:uiPriority w:val="10"/>
    <w:qFormat/>
    <w:rsid w:val="00AC5C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C5CE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C5CE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C5CE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C5CE1"/>
    <w:pPr>
      <w:spacing w:before="160"/>
      <w:jc w:val="center"/>
    </w:pPr>
    <w:rPr>
      <w:i/>
      <w:iCs/>
      <w:color w:val="404040" w:themeColor="text1" w:themeTint="BF"/>
    </w:rPr>
  </w:style>
  <w:style w:type="character" w:customStyle="1" w:styleId="CitationCar">
    <w:name w:val="Citation Car"/>
    <w:basedOn w:val="Policepardfaut"/>
    <w:link w:val="Citation"/>
    <w:uiPriority w:val="29"/>
    <w:rsid w:val="00AC5CE1"/>
    <w:rPr>
      <w:i/>
      <w:iCs/>
      <w:color w:val="404040" w:themeColor="text1" w:themeTint="BF"/>
    </w:rPr>
  </w:style>
  <w:style w:type="paragraph" w:styleId="Paragraphedeliste">
    <w:name w:val="List Paragraph"/>
    <w:basedOn w:val="Normal"/>
    <w:uiPriority w:val="34"/>
    <w:qFormat/>
    <w:rsid w:val="00AC5CE1"/>
    <w:pPr>
      <w:ind w:left="720"/>
      <w:contextualSpacing/>
    </w:pPr>
  </w:style>
  <w:style w:type="character" w:styleId="Accentuationintense">
    <w:name w:val="Intense Emphasis"/>
    <w:basedOn w:val="Policepardfaut"/>
    <w:uiPriority w:val="21"/>
    <w:qFormat/>
    <w:rsid w:val="00AC5CE1"/>
    <w:rPr>
      <w:i/>
      <w:iCs/>
      <w:color w:val="0F4761" w:themeColor="accent1" w:themeShade="BF"/>
    </w:rPr>
  </w:style>
  <w:style w:type="paragraph" w:styleId="Citationintense">
    <w:name w:val="Intense Quote"/>
    <w:basedOn w:val="Normal"/>
    <w:next w:val="Normal"/>
    <w:link w:val="CitationintenseCar"/>
    <w:uiPriority w:val="30"/>
    <w:qFormat/>
    <w:rsid w:val="00AC5C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C5CE1"/>
    <w:rPr>
      <w:i/>
      <w:iCs/>
      <w:color w:val="0F4761" w:themeColor="accent1" w:themeShade="BF"/>
    </w:rPr>
  </w:style>
  <w:style w:type="character" w:styleId="Rfrenceintense">
    <w:name w:val="Intense Reference"/>
    <w:basedOn w:val="Policepardfaut"/>
    <w:uiPriority w:val="32"/>
    <w:qFormat/>
    <w:rsid w:val="00AC5CE1"/>
    <w:rPr>
      <w:b/>
      <w:bCs/>
      <w:smallCaps/>
      <w:color w:val="0F4761" w:themeColor="accent1" w:themeShade="BF"/>
      <w:spacing w:val="5"/>
    </w:rPr>
  </w:style>
  <w:style w:type="character" w:styleId="Lienhypertexte">
    <w:name w:val="Hyperlink"/>
    <w:basedOn w:val="Policepardfaut"/>
    <w:uiPriority w:val="99"/>
    <w:unhideWhenUsed/>
    <w:rsid w:val="008E0876"/>
    <w:rPr>
      <w:color w:val="467886" w:themeColor="hyperlink"/>
      <w:u w:val="single"/>
    </w:rPr>
  </w:style>
  <w:style w:type="character" w:styleId="Mentionnonrsolue">
    <w:name w:val="Unresolved Mention"/>
    <w:basedOn w:val="Policepardfaut"/>
    <w:uiPriority w:val="99"/>
    <w:semiHidden/>
    <w:unhideWhenUsed/>
    <w:rsid w:val="008E0876"/>
    <w:rPr>
      <w:color w:val="605E5C"/>
      <w:shd w:val="clear" w:color="auto" w:fill="E1DFDD"/>
    </w:rPr>
  </w:style>
  <w:style w:type="table" w:styleId="Grilledutableau">
    <w:name w:val="Table Grid"/>
    <w:basedOn w:val="TableauNormal"/>
    <w:uiPriority w:val="39"/>
    <w:rsid w:val="00E95A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hitespace-pre-wrap">
    <w:name w:val="whitespace-pre-wrap"/>
    <w:basedOn w:val="Normal"/>
    <w:rsid w:val="00110346"/>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lev">
    <w:name w:val="Strong"/>
    <w:basedOn w:val="Policepardfaut"/>
    <w:uiPriority w:val="22"/>
    <w:qFormat/>
    <w:rsid w:val="00AD20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51141">
      <w:bodyDiv w:val="1"/>
      <w:marLeft w:val="0"/>
      <w:marRight w:val="0"/>
      <w:marTop w:val="0"/>
      <w:marBottom w:val="0"/>
      <w:divBdr>
        <w:top w:val="none" w:sz="0" w:space="0" w:color="auto"/>
        <w:left w:val="none" w:sz="0" w:space="0" w:color="auto"/>
        <w:bottom w:val="none" w:sz="0" w:space="0" w:color="auto"/>
        <w:right w:val="none" w:sz="0" w:space="0" w:color="auto"/>
      </w:divBdr>
    </w:div>
    <w:div w:id="201090990">
      <w:bodyDiv w:val="1"/>
      <w:marLeft w:val="0"/>
      <w:marRight w:val="0"/>
      <w:marTop w:val="0"/>
      <w:marBottom w:val="0"/>
      <w:divBdr>
        <w:top w:val="none" w:sz="0" w:space="0" w:color="auto"/>
        <w:left w:val="none" w:sz="0" w:space="0" w:color="auto"/>
        <w:bottom w:val="none" w:sz="0" w:space="0" w:color="auto"/>
        <w:right w:val="none" w:sz="0" w:space="0" w:color="auto"/>
      </w:divBdr>
      <w:divsChild>
        <w:div w:id="66349551">
          <w:marLeft w:val="0"/>
          <w:marRight w:val="0"/>
          <w:marTop w:val="0"/>
          <w:marBottom w:val="0"/>
          <w:divBdr>
            <w:top w:val="single" w:sz="2" w:space="0" w:color="auto"/>
            <w:left w:val="single" w:sz="2" w:space="0" w:color="auto"/>
            <w:bottom w:val="single" w:sz="2" w:space="0" w:color="auto"/>
            <w:right w:val="single" w:sz="2" w:space="0" w:color="auto"/>
          </w:divBdr>
          <w:divsChild>
            <w:div w:id="616985928">
              <w:marLeft w:val="0"/>
              <w:marRight w:val="0"/>
              <w:marTop w:val="0"/>
              <w:marBottom w:val="0"/>
              <w:divBdr>
                <w:top w:val="single" w:sz="2" w:space="0" w:color="auto"/>
                <w:left w:val="single" w:sz="2" w:space="0" w:color="auto"/>
                <w:bottom w:val="single" w:sz="2" w:space="0" w:color="auto"/>
                <w:right w:val="single" w:sz="2" w:space="0" w:color="auto"/>
              </w:divBdr>
              <w:divsChild>
                <w:div w:id="1988313824">
                  <w:marLeft w:val="0"/>
                  <w:marRight w:val="0"/>
                  <w:marTop w:val="0"/>
                  <w:marBottom w:val="0"/>
                  <w:divBdr>
                    <w:top w:val="single" w:sz="2" w:space="0" w:color="auto"/>
                    <w:left w:val="single" w:sz="2" w:space="0" w:color="auto"/>
                    <w:bottom w:val="single" w:sz="2" w:space="0" w:color="auto"/>
                    <w:right w:val="single" w:sz="2" w:space="0" w:color="auto"/>
                  </w:divBdr>
                  <w:divsChild>
                    <w:div w:id="1161895104">
                      <w:marLeft w:val="0"/>
                      <w:marRight w:val="0"/>
                      <w:marTop w:val="0"/>
                      <w:marBottom w:val="0"/>
                      <w:divBdr>
                        <w:top w:val="single" w:sz="2" w:space="0" w:color="auto"/>
                        <w:left w:val="single" w:sz="2" w:space="0" w:color="auto"/>
                        <w:bottom w:val="single" w:sz="2" w:space="0" w:color="auto"/>
                        <w:right w:val="single" w:sz="2" w:space="0" w:color="auto"/>
                      </w:divBdr>
                      <w:divsChild>
                        <w:div w:id="931401337">
                          <w:marLeft w:val="0"/>
                          <w:marRight w:val="0"/>
                          <w:marTop w:val="0"/>
                          <w:marBottom w:val="0"/>
                          <w:divBdr>
                            <w:top w:val="single" w:sz="2" w:space="0" w:color="auto"/>
                            <w:left w:val="single" w:sz="2" w:space="0" w:color="auto"/>
                            <w:bottom w:val="single" w:sz="2" w:space="0" w:color="auto"/>
                            <w:right w:val="single" w:sz="2" w:space="0" w:color="auto"/>
                          </w:divBdr>
                          <w:divsChild>
                            <w:div w:id="1764640074">
                              <w:marLeft w:val="0"/>
                              <w:marRight w:val="0"/>
                              <w:marTop w:val="0"/>
                              <w:marBottom w:val="0"/>
                              <w:divBdr>
                                <w:top w:val="single" w:sz="2" w:space="0" w:color="auto"/>
                                <w:left w:val="single" w:sz="2" w:space="0" w:color="auto"/>
                                <w:bottom w:val="single" w:sz="2" w:space="0" w:color="auto"/>
                                <w:right w:val="single" w:sz="2" w:space="0" w:color="auto"/>
                              </w:divBdr>
                              <w:divsChild>
                                <w:div w:id="51396125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677804770">
                      <w:marLeft w:val="0"/>
                      <w:marRight w:val="0"/>
                      <w:marTop w:val="0"/>
                      <w:marBottom w:val="0"/>
                      <w:divBdr>
                        <w:top w:val="single" w:sz="2" w:space="0" w:color="auto"/>
                        <w:left w:val="single" w:sz="2" w:space="0" w:color="auto"/>
                        <w:bottom w:val="single" w:sz="2" w:space="0" w:color="auto"/>
                        <w:right w:val="single" w:sz="2" w:space="0" w:color="auto"/>
                      </w:divBdr>
                      <w:divsChild>
                        <w:div w:id="508370071">
                          <w:marLeft w:val="0"/>
                          <w:marRight w:val="0"/>
                          <w:marTop w:val="0"/>
                          <w:marBottom w:val="0"/>
                          <w:divBdr>
                            <w:top w:val="single" w:sz="2" w:space="0" w:color="auto"/>
                            <w:left w:val="single" w:sz="2" w:space="0" w:color="auto"/>
                            <w:bottom w:val="single" w:sz="2" w:space="0" w:color="auto"/>
                            <w:right w:val="single" w:sz="2" w:space="0" w:color="auto"/>
                          </w:divBdr>
                          <w:divsChild>
                            <w:div w:id="14426454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886185502">
          <w:marLeft w:val="0"/>
          <w:marRight w:val="0"/>
          <w:marTop w:val="0"/>
          <w:marBottom w:val="0"/>
          <w:divBdr>
            <w:top w:val="single" w:sz="2" w:space="0" w:color="auto"/>
            <w:left w:val="single" w:sz="2" w:space="0" w:color="auto"/>
            <w:bottom w:val="single" w:sz="2" w:space="0" w:color="auto"/>
            <w:right w:val="single" w:sz="2" w:space="0" w:color="auto"/>
          </w:divBdr>
          <w:divsChild>
            <w:div w:id="1780491558">
              <w:marLeft w:val="0"/>
              <w:marRight w:val="0"/>
              <w:marTop w:val="0"/>
              <w:marBottom w:val="0"/>
              <w:divBdr>
                <w:top w:val="single" w:sz="2" w:space="0" w:color="auto"/>
                <w:left w:val="single" w:sz="2" w:space="0" w:color="auto"/>
                <w:bottom w:val="single" w:sz="2" w:space="0" w:color="auto"/>
                <w:right w:val="single" w:sz="2" w:space="0" w:color="auto"/>
              </w:divBdr>
              <w:divsChild>
                <w:div w:id="968165836">
                  <w:marLeft w:val="15"/>
                  <w:marRight w:val="0"/>
                  <w:marTop w:val="0"/>
                  <w:marBottom w:val="0"/>
                  <w:divBdr>
                    <w:top w:val="single" w:sz="2" w:space="0" w:color="auto"/>
                    <w:left w:val="single" w:sz="2" w:space="0" w:color="auto"/>
                    <w:bottom w:val="single" w:sz="2" w:space="0" w:color="auto"/>
                    <w:right w:val="single" w:sz="2" w:space="0" w:color="auto"/>
                  </w:divBdr>
                  <w:divsChild>
                    <w:div w:id="1889879830">
                      <w:marLeft w:val="0"/>
                      <w:marRight w:val="0"/>
                      <w:marTop w:val="0"/>
                      <w:marBottom w:val="0"/>
                      <w:divBdr>
                        <w:top w:val="single" w:sz="2" w:space="0" w:color="auto"/>
                        <w:left w:val="single" w:sz="2" w:space="0" w:color="auto"/>
                        <w:bottom w:val="single" w:sz="2" w:space="0" w:color="auto"/>
                        <w:right w:val="single" w:sz="2" w:space="0" w:color="auto"/>
                      </w:divBdr>
                      <w:divsChild>
                        <w:div w:id="161941042">
                          <w:marLeft w:val="0"/>
                          <w:marRight w:val="0"/>
                          <w:marTop w:val="0"/>
                          <w:marBottom w:val="0"/>
                          <w:divBdr>
                            <w:top w:val="single" w:sz="2" w:space="0" w:color="auto"/>
                            <w:left w:val="single" w:sz="2" w:space="0" w:color="auto"/>
                            <w:bottom w:val="single" w:sz="2" w:space="0" w:color="auto"/>
                            <w:right w:val="single" w:sz="2" w:space="0" w:color="auto"/>
                          </w:divBdr>
                          <w:divsChild>
                            <w:div w:id="677461100">
                              <w:marLeft w:val="0"/>
                              <w:marRight w:val="0"/>
                              <w:marTop w:val="0"/>
                              <w:marBottom w:val="0"/>
                              <w:divBdr>
                                <w:top w:val="single" w:sz="2" w:space="0" w:color="auto"/>
                                <w:left w:val="single" w:sz="2" w:space="0" w:color="auto"/>
                                <w:bottom w:val="single" w:sz="2" w:space="0" w:color="auto"/>
                                <w:right w:val="single" w:sz="2" w:space="0" w:color="auto"/>
                              </w:divBdr>
                            </w:div>
                          </w:divsChild>
                        </w:div>
                        <w:div w:id="99564588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946040337">
          <w:marLeft w:val="0"/>
          <w:marRight w:val="0"/>
          <w:marTop w:val="0"/>
          <w:marBottom w:val="0"/>
          <w:divBdr>
            <w:top w:val="single" w:sz="2" w:space="0" w:color="auto"/>
            <w:left w:val="single" w:sz="2" w:space="0" w:color="auto"/>
            <w:bottom w:val="single" w:sz="2" w:space="0" w:color="auto"/>
            <w:right w:val="single" w:sz="2" w:space="0" w:color="auto"/>
          </w:divBdr>
          <w:divsChild>
            <w:div w:id="325011265">
              <w:marLeft w:val="0"/>
              <w:marRight w:val="0"/>
              <w:marTop w:val="0"/>
              <w:marBottom w:val="0"/>
              <w:divBdr>
                <w:top w:val="single" w:sz="2" w:space="0" w:color="auto"/>
                <w:left w:val="single" w:sz="2" w:space="0" w:color="auto"/>
                <w:bottom w:val="single" w:sz="2" w:space="0" w:color="auto"/>
                <w:right w:val="single" w:sz="2" w:space="0" w:color="auto"/>
              </w:divBdr>
              <w:divsChild>
                <w:div w:id="639962944">
                  <w:marLeft w:val="0"/>
                  <w:marRight w:val="0"/>
                  <w:marTop w:val="0"/>
                  <w:marBottom w:val="0"/>
                  <w:divBdr>
                    <w:top w:val="single" w:sz="2" w:space="0" w:color="auto"/>
                    <w:left w:val="single" w:sz="2" w:space="0" w:color="auto"/>
                    <w:bottom w:val="single" w:sz="2" w:space="0" w:color="auto"/>
                    <w:right w:val="single" w:sz="2" w:space="0" w:color="auto"/>
                  </w:divBdr>
                  <w:divsChild>
                    <w:div w:id="327906699">
                      <w:marLeft w:val="0"/>
                      <w:marRight w:val="0"/>
                      <w:marTop w:val="0"/>
                      <w:marBottom w:val="0"/>
                      <w:divBdr>
                        <w:top w:val="single" w:sz="2" w:space="0" w:color="auto"/>
                        <w:left w:val="single" w:sz="2" w:space="0" w:color="auto"/>
                        <w:bottom w:val="single" w:sz="2" w:space="0" w:color="auto"/>
                        <w:right w:val="single" w:sz="2" w:space="0" w:color="auto"/>
                      </w:divBdr>
                      <w:divsChild>
                        <w:div w:id="992487687">
                          <w:marLeft w:val="0"/>
                          <w:marRight w:val="0"/>
                          <w:marTop w:val="0"/>
                          <w:marBottom w:val="0"/>
                          <w:divBdr>
                            <w:top w:val="single" w:sz="2" w:space="0" w:color="auto"/>
                            <w:left w:val="single" w:sz="2" w:space="0" w:color="auto"/>
                            <w:bottom w:val="single" w:sz="2" w:space="0" w:color="auto"/>
                            <w:right w:val="single" w:sz="2" w:space="0" w:color="auto"/>
                          </w:divBdr>
                          <w:divsChild>
                            <w:div w:id="10141085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26556910">
                      <w:marLeft w:val="0"/>
                      <w:marRight w:val="0"/>
                      <w:marTop w:val="0"/>
                      <w:marBottom w:val="0"/>
                      <w:divBdr>
                        <w:top w:val="single" w:sz="2" w:space="0" w:color="auto"/>
                        <w:left w:val="single" w:sz="2" w:space="0" w:color="auto"/>
                        <w:bottom w:val="single" w:sz="2" w:space="0" w:color="auto"/>
                        <w:right w:val="single" w:sz="2" w:space="0" w:color="auto"/>
                      </w:divBdr>
                      <w:divsChild>
                        <w:div w:id="2010407001">
                          <w:marLeft w:val="0"/>
                          <w:marRight w:val="0"/>
                          <w:marTop w:val="0"/>
                          <w:marBottom w:val="0"/>
                          <w:divBdr>
                            <w:top w:val="single" w:sz="2" w:space="0" w:color="auto"/>
                            <w:left w:val="single" w:sz="2" w:space="0" w:color="auto"/>
                            <w:bottom w:val="single" w:sz="2" w:space="0" w:color="auto"/>
                            <w:right w:val="single" w:sz="2" w:space="0" w:color="auto"/>
                          </w:divBdr>
                          <w:divsChild>
                            <w:div w:id="1756709505">
                              <w:marLeft w:val="0"/>
                              <w:marRight w:val="0"/>
                              <w:marTop w:val="0"/>
                              <w:marBottom w:val="0"/>
                              <w:divBdr>
                                <w:top w:val="single" w:sz="2" w:space="0" w:color="auto"/>
                                <w:left w:val="single" w:sz="2" w:space="0" w:color="auto"/>
                                <w:bottom w:val="single" w:sz="2" w:space="0" w:color="auto"/>
                                <w:right w:val="single" w:sz="2" w:space="0" w:color="auto"/>
                              </w:divBdr>
                              <w:divsChild>
                                <w:div w:id="1273040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009066360">
          <w:marLeft w:val="0"/>
          <w:marRight w:val="0"/>
          <w:marTop w:val="0"/>
          <w:marBottom w:val="0"/>
          <w:divBdr>
            <w:top w:val="single" w:sz="2" w:space="0" w:color="auto"/>
            <w:left w:val="single" w:sz="2" w:space="0" w:color="auto"/>
            <w:bottom w:val="single" w:sz="2" w:space="0" w:color="auto"/>
            <w:right w:val="single" w:sz="2" w:space="0" w:color="auto"/>
          </w:divBdr>
          <w:divsChild>
            <w:div w:id="2033263493">
              <w:marLeft w:val="0"/>
              <w:marRight w:val="0"/>
              <w:marTop w:val="0"/>
              <w:marBottom w:val="0"/>
              <w:divBdr>
                <w:top w:val="single" w:sz="2" w:space="0" w:color="auto"/>
                <w:left w:val="single" w:sz="2" w:space="0" w:color="auto"/>
                <w:bottom w:val="single" w:sz="2" w:space="0" w:color="auto"/>
                <w:right w:val="single" w:sz="2" w:space="0" w:color="auto"/>
              </w:divBdr>
              <w:divsChild>
                <w:div w:id="5361660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90100629">
          <w:marLeft w:val="0"/>
          <w:marRight w:val="0"/>
          <w:marTop w:val="0"/>
          <w:marBottom w:val="0"/>
          <w:divBdr>
            <w:top w:val="single" w:sz="2" w:space="0" w:color="auto"/>
            <w:left w:val="single" w:sz="2" w:space="0" w:color="auto"/>
            <w:bottom w:val="single" w:sz="2" w:space="0" w:color="auto"/>
            <w:right w:val="single" w:sz="2" w:space="0" w:color="auto"/>
          </w:divBdr>
          <w:divsChild>
            <w:div w:id="1984503091">
              <w:marLeft w:val="0"/>
              <w:marRight w:val="0"/>
              <w:marTop w:val="0"/>
              <w:marBottom w:val="0"/>
              <w:divBdr>
                <w:top w:val="single" w:sz="2" w:space="0" w:color="auto"/>
                <w:left w:val="single" w:sz="2" w:space="0" w:color="auto"/>
                <w:bottom w:val="single" w:sz="2" w:space="0" w:color="auto"/>
                <w:right w:val="single" w:sz="2" w:space="0" w:color="auto"/>
              </w:divBdr>
              <w:divsChild>
                <w:div w:id="1267300480">
                  <w:marLeft w:val="15"/>
                  <w:marRight w:val="0"/>
                  <w:marTop w:val="0"/>
                  <w:marBottom w:val="0"/>
                  <w:divBdr>
                    <w:top w:val="single" w:sz="2" w:space="0" w:color="auto"/>
                    <w:left w:val="single" w:sz="2" w:space="0" w:color="auto"/>
                    <w:bottom w:val="single" w:sz="2" w:space="0" w:color="auto"/>
                    <w:right w:val="single" w:sz="2" w:space="0" w:color="auto"/>
                  </w:divBdr>
                  <w:divsChild>
                    <w:div w:id="807010633">
                      <w:marLeft w:val="0"/>
                      <w:marRight w:val="0"/>
                      <w:marTop w:val="0"/>
                      <w:marBottom w:val="0"/>
                      <w:divBdr>
                        <w:top w:val="single" w:sz="2" w:space="0" w:color="auto"/>
                        <w:left w:val="single" w:sz="2" w:space="0" w:color="auto"/>
                        <w:bottom w:val="single" w:sz="2" w:space="0" w:color="auto"/>
                        <w:right w:val="single" w:sz="2" w:space="0" w:color="auto"/>
                      </w:divBdr>
                      <w:divsChild>
                        <w:div w:id="911892745">
                          <w:marLeft w:val="0"/>
                          <w:marRight w:val="0"/>
                          <w:marTop w:val="0"/>
                          <w:marBottom w:val="0"/>
                          <w:divBdr>
                            <w:top w:val="single" w:sz="2" w:space="0" w:color="auto"/>
                            <w:left w:val="single" w:sz="2" w:space="0" w:color="auto"/>
                            <w:bottom w:val="single" w:sz="2" w:space="0" w:color="auto"/>
                            <w:right w:val="single" w:sz="2" w:space="0" w:color="auto"/>
                          </w:divBdr>
                        </w:div>
                        <w:div w:id="1744639933">
                          <w:marLeft w:val="0"/>
                          <w:marRight w:val="0"/>
                          <w:marTop w:val="0"/>
                          <w:marBottom w:val="0"/>
                          <w:divBdr>
                            <w:top w:val="single" w:sz="2" w:space="0" w:color="auto"/>
                            <w:left w:val="single" w:sz="2" w:space="0" w:color="auto"/>
                            <w:bottom w:val="single" w:sz="2" w:space="0" w:color="auto"/>
                            <w:right w:val="single" w:sz="2" w:space="0" w:color="auto"/>
                          </w:divBdr>
                          <w:divsChild>
                            <w:div w:id="31353035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434593084">
          <w:marLeft w:val="0"/>
          <w:marRight w:val="0"/>
          <w:marTop w:val="0"/>
          <w:marBottom w:val="0"/>
          <w:divBdr>
            <w:top w:val="single" w:sz="2" w:space="0" w:color="auto"/>
            <w:left w:val="single" w:sz="2" w:space="0" w:color="auto"/>
            <w:bottom w:val="single" w:sz="2" w:space="0" w:color="auto"/>
            <w:right w:val="single" w:sz="2" w:space="0" w:color="auto"/>
          </w:divBdr>
          <w:divsChild>
            <w:div w:id="1093093450">
              <w:marLeft w:val="0"/>
              <w:marRight w:val="0"/>
              <w:marTop w:val="0"/>
              <w:marBottom w:val="0"/>
              <w:divBdr>
                <w:top w:val="single" w:sz="2" w:space="0" w:color="auto"/>
                <w:left w:val="single" w:sz="2" w:space="0" w:color="auto"/>
                <w:bottom w:val="single" w:sz="2" w:space="0" w:color="auto"/>
                <w:right w:val="single" w:sz="2" w:space="0" w:color="auto"/>
              </w:divBdr>
              <w:divsChild>
                <w:div w:id="2100253930">
                  <w:marLeft w:val="15"/>
                  <w:marRight w:val="0"/>
                  <w:marTop w:val="0"/>
                  <w:marBottom w:val="0"/>
                  <w:divBdr>
                    <w:top w:val="single" w:sz="2" w:space="0" w:color="auto"/>
                    <w:left w:val="single" w:sz="2" w:space="0" w:color="auto"/>
                    <w:bottom w:val="single" w:sz="2" w:space="0" w:color="auto"/>
                    <w:right w:val="single" w:sz="2" w:space="0" w:color="auto"/>
                  </w:divBdr>
                  <w:divsChild>
                    <w:div w:id="1661929839">
                      <w:marLeft w:val="0"/>
                      <w:marRight w:val="0"/>
                      <w:marTop w:val="0"/>
                      <w:marBottom w:val="0"/>
                      <w:divBdr>
                        <w:top w:val="single" w:sz="2" w:space="0" w:color="auto"/>
                        <w:left w:val="single" w:sz="2" w:space="0" w:color="auto"/>
                        <w:bottom w:val="single" w:sz="2" w:space="0" w:color="auto"/>
                        <w:right w:val="single" w:sz="2" w:space="0" w:color="auto"/>
                      </w:divBdr>
                      <w:divsChild>
                        <w:div w:id="775633546">
                          <w:marLeft w:val="0"/>
                          <w:marRight w:val="0"/>
                          <w:marTop w:val="0"/>
                          <w:marBottom w:val="0"/>
                          <w:divBdr>
                            <w:top w:val="single" w:sz="2" w:space="0" w:color="auto"/>
                            <w:left w:val="single" w:sz="2" w:space="0" w:color="auto"/>
                            <w:bottom w:val="single" w:sz="2" w:space="0" w:color="auto"/>
                            <w:right w:val="single" w:sz="2" w:space="0" w:color="auto"/>
                          </w:divBdr>
                        </w:div>
                        <w:div w:id="1026444131">
                          <w:marLeft w:val="0"/>
                          <w:marRight w:val="0"/>
                          <w:marTop w:val="0"/>
                          <w:marBottom w:val="0"/>
                          <w:divBdr>
                            <w:top w:val="single" w:sz="2" w:space="0" w:color="auto"/>
                            <w:left w:val="single" w:sz="2" w:space="0" w:color="auto"/>
                            <w:bottom w:val="single" w:sz="2" w:space="0" w:color="auto"/>
                            <w:right w:val="single" w:sz="2" w:space="0" w:color="auto"/>
                          </w:divBdr>
                          <w:divsChild>
                            <w:div w:id="11568017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628461907">
          <w:marLeft w:val="0"/>
          <w:marRight w:val="0"/>
          <w:marTop w:val="0"/>
          <w:marBottom w:val="0"/>
          <w:divBdr>
            <w:top w:val="single" w:sz="2" w:space="0" w:color="auto"/>
            <w:left w:val="single" w:sz="2" w:space="0" w:color="auto"/>
            <w:bottom w:val="single" w:sz="2" w:space="0" w:color="auto"/>
            <w:right w:val="single" w:sz="2" w:space="0" w:color="auto"/>
          </w:divBdr>
          <w:divsChild>
            <w:div w:id="168914944">
              <w:marLeft w:val="0"/>
              <w:marRight w:val="0"/>
              <w:marTop w:val="0"/>
              <w:marBottom w:val="0"/>
              <w:divBdr>
                <w:top w:val="single" w:sz="2" w:space="0" w:color="auto"/>
                <w:left w:val="single" w:sz="2" w:space="0" w:color="auto"/>
                <w:bottom w:val="single" w:sz="2" w:space="0" w:color="auto"/>
                <w:right w:val="single" w:sz="2" w:space="0" w:color="auto"/>
              </w:divBdr>
              <w:divsChild>
                <w:div w:id="406536507">
                  <w:marLeft w:val="0"/>
                  <w:marRight w:val="0"/>
                  <w:marTop w:val="0"/>
                  <w:marBottom w:val="0"/>
                  <w:divBdr>
                    <w:top w:val="single" w:sz="2" w:space="0" w:color="auto"/>
                    <w:left w:val="single" w:sz="2" w:space="0" w:color="auto"/>
                    <w:bottom w:val="single" w:sz="2" w:space="0" w:color="auto"/>
                    <w:right w:val="single" w:sz="2" w:space="0" w:color="auto"/>
                  </w:divBdr>
                  <w:divsChild>
                    <w:div w:id="1623730050">
                      <w:marLeft w:val="0"/>
                      <w:marRight w:val="0"/>
                      <w:marTop w:val="0"/>
                      <w:marBottom w:val="0"/>
                      <w:divBdr>
                        <w:top w:val="single" w:sz="2" w:space="0" w:color="auto"/>
                        <w:left w:val="single" w:sz="2" w:space="0" w:color="auto"/>
                        <w:bottom w:val="single" w:sz="2" w:space="0" w:color="auto"/>
                        <w:right w:val="single" w:sz="2" w:space="0" w:color="auto"/>
                      </w:divBdr>
                      <w:divsChild>
                        <w:div w:id="1770000678">
                          <w:marLeft w:val="0"/>
                          <w:marRight w:val="0"/>
                          <w:marTop w:val="0"/>
                          <w:marBottom w:val="0"/>
                          <w:divBdr>
                            <w:top w:val="single" w:sz="2" w:space="0" w:color="auto"/>
                            <w:left w:val="single" w:sz="2" w:space="0" w:color="auto"/>
                            <w:bottom w:val="single" w:sz="2" w:space="0" w:color="auto"/>
                            <w:right w:val="single" w:sz="2" w:space="0" w:color="auto"/>
                          </w:divBdr>
                          <w:divsChild>
                            <w:div w:id="11294416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847868107">
                      <w:marLeft w:val="0"/>
                      <w:marRight w:val="0"/>
                      <w:marTop w:val="0"/>
                      <w:marBottom w:val="0"/>
                      <w:divBdr>
                        <w:top w:val="single" w:sz="2" w:space="0" w:color="auto"/>
                        <w:left w:val="single" w:sz="2" w:space="0" w:color="auto"/>
                        <w:bottom w:val="single" w:sz="2" w:space="0" w:color="auto"/>
                        <w:right w:val="single" w:sz="2" w:space="0" w:color="auto"/>
                      </w:divBdr>
                      <w:divsChild>
                        <w:div w:id="1464612103">
                          <w:marLeft w:val="0"/>
                          <w:marRight w:val="0"/>
                          <w:marTop w:val="0"/>
                          <w:marBottom w:val="0"/>
                          <w:divBdr>
                            <w:top w:val="single" w:sz="2" w:space="0" w:color="auto"/>
                            <w:left w:val="single" w:sz="2" w:space="0" w:color="auto"/>
                            <w:bottom w:val="single" w:sz="2" w:space="0" w:color="auto"/>
                            <w:right w:val="single" w:sz="2" w:space="0" w:color="auto"/>
                          </w:divBdr>
                          <w:divsChild>
                            <w:div w:id="860170488">
                              <w:marLeft w:val="0"/>
                              <w:marRight w:val="0"/>
                              <w:marTop w:val="0"/>
                              <w:marBottom w:val="0"/>
                              <w:divBdr>
                                <w:top w:val="single" w:sz="2" w:space="0" w:color="auto"/>
                                <w:left w:val="single" w:sz="2" w:space="0" w:color="auto"/>
                                <w:bottom w:val="single" w:sz="2" w:space="0" w:color="auto"/>
                                <w:right w:val="single" w:sz="2" w:space="0" w:color="auto"/>
                              </w:divBdr>
                              <w:divsChild>
                                <w:div w:id="98011448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979871003">
          <w:marLeft w:val="0"/>
          <w:marRight w:val="0"/>
          <w:marTop w:val="0"/>
          <w:marBottom w:val="0"/>
          <w:divBdr>
            <w:top w:val="single" w:sz="2" w:space="0" w:color="auto"/>
            <w:left w:val="single" w:sz="2" w:space="0" w:color="auto"/>
            <w:bottom w:val="single" w:sz="2" w:space="0" w:color="auto"/>
            <w:right w:val="single" w:sz="2" w:space="0" w:color="auto"/>
          </w:divBdr>
          <w:divsChild>
            <w:div w:id="731734199">
              <w:marLeft w:val="0"/>
              <w:marRight w:val="0"/>
              <w:marTop w:val="0"/>
              <w:marBottom w:val="0"/>
              <w:divBdr>
                <w:top w:val="single" w:sz="2" w:space="0" w:color="auto"/>
                <w:left w:val="single" w:sz="2" w:space="0" w:color="auto"/>
                <w:bottom w:val="single" w:sz="2" w:space="0" w:color="auto"/>
                <w:right w:val="single" w:sz="2" w:space="0" w:color="auto"/>
              </w:divBdr>
              <w:divsChild>
                <w:div w:id="1320189031">
                  <w:marLeft w:val="0"/>
                  <w:marRight w:val="0"/>
                  <w:marTop w:val="0"/>
                  <w:marBottom w:val="0"/>
                  <w:divBdr>
                    <w:top w:val="single" w:sz="2" w:space="0" w:color="auto"/>
                    <w:left w:val="single" w:sz="2" w:space="0" w:color="auto"/>
                    <w:bottom w:val="single" w:sz="2" w:space="0" w:color="auto"/>
                    <w:right w:val="single" w:sz="2" w:space="0" w:color="auto"/>
                  </w:divBdr>
                  <w:divsChild>
                    <w:div w:id="113257447">
                      <w:marLeft w:val="0"/>
                      <w:marRight w:val="0"/>
                      <w:marTop w:val="0"/>
                      <w:marBottom w:val="0"/>
                      <w:divBdr>
                        <w:top w:val="single" w:sz="2" w:space="0" w:color="auto"/>
                        <w:left w:val="single" w:sz="2" w:space="0" w:color="auto"/>
                        <w:bottom w:val="single" w:sz="2" w:space="0" w:color="auto"/>
                        <w:right w:val="single" w:sz="2" w:space="0" w:color="auto"/>
                      </w:divBdr>
                      <w:divsChild>
                        <w:div w:id="1253928334">
                          <w:marLeft w:val="0"/>
                          <w:marRight w:val="0"/>
                          <w:marTop w:val="0"/>
                          <w:marBottom w:val="0"/>
                          <w:divBdr>
                            <w:top w:val="single" w:sz="2" w:space="0" w:color="auto"/>
                            <w:left w:val="single" w:sz="2" w:space="0" w:color="auto"/>
                            <w:bottom w:val="single" w:sz="2" w:space="0" w:color="auto"/>
                            <w:right w:val="single" w:sz="2" w:space="0" w:color="auto"/>
                          </w:divBdr>
                          <w:divsChild>
                            <w:div w:id="11574538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02949473">
                      <w:marLeft w:val="0"/>
                      <w:marRight w:val="0"/>
                      <w:marTop w:val="0"/>
                      <w:marBottom w:val="0"/>
                      <w:divBdr>
                        <w:top w:val="single" w:sz="2" w:space="0" w:color="auto"/>
                        <w:left w:val="single" w:sz="2" w:space="0" w:color="auto"/>
                        <w:bottom w:val="single" w:sz="2" w:space="0" w:color="auto"/>
                        <w:right w:val="single" w:sz="2" w:space="0" w:color="auto"/>
                      </w:divBdr>
                      <w:divsChild>
                        <w:div w:id="2075810631">
                          <w:marLeft w:val="0"/>
                          <w:marRight w:val="0"/>
                          <w:marTop w:val="0"/>
                          <w:marBottom w:val="0"/>
                          <w:divBdr>
                            <w:top w:val="single" w:sz="2" w:space="0" w:color="auto"/>
                            <w:left w:val="single" w:sz="2" w:space="0" w:color="auto"/>
                            <w:bottom w:val="single" w:sz="2" w:space="0" w:color="auto"/>
                            <w:right w:val="single" w:sz="2" w:space="0" w:color="auto"/>
                          </w:divBdr>
                          <w:divsChild>
                            <w:div w:id="1416199113">
                              <w:marLeft w:val="0"/>
                              <w:marRight w:val="0"/>
                              <w:marTop w:val="0"/>
                              <w:marBottom w:val="0"/>
                              <w:divBdr>
                                <w:top w:val="single" w:sz="2" w:space="0" w:color="auto"/>
                                <w:left w:val="single" w:sz="2" w:space="0" w:color="auto"/>
                                <w:bottom w:val="single" w:sz="2" w:space="0" w:color="auto"/>
                                <w:right w:val="single" w:sz="2" w:space="0" w:color="auto"/>
                              </w:divBdr>
                              <w:divsChild>
                                <w:div w:id="129683825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350491663">
      <w:bodyDiv w:val="1"/>
      <w:marLeft w:val="0"/>
      <w:marRight w:val="0"/>
      <w:marTop w:val="0"/>
      <w:marBottom w:val="0"/>
      <w:divBdr>
        <w:top w:val="none" w:sz="0" w:space="0" w:color="auto"/>
        <w:left w:val="none" w:sz="0" w:space="0" w:color="auto"/>
        <w:bottom w:val="none" w:sz="0" w:space="0" w:color="auto"/>
        <w:right w:val="none" w:sz="0" w:space="0" w:color="auto"/>
      </w:divBdr>
    </w:div>
    <w:div w:id="388581078">
      <w:bodyDiv w:val="1"/>
      <w:marLeft w:val="0"/>
      <w:marRight w:val="0"/>
      <w:marTop w:val="0"/>
      <w:marBottom w:val="0"/>
      <w:divBdr>
        <w:top w:val="none" w:sz="0" w:space="0" w:color="auto"/>
        <w:left w:val="none" w:sz="0" w:space="0" w:color="auto"/>
        <w:bottom w:val="none" w:sz="0" w:space="0" w:color="auto"/>
        <w:right w:val="none" w:sz="0" w:space="0" w:color="auto"/>
      </w:divBdr>
      <w:divsChild>
        <w:div w:id="1498033339">
          <w:marLeft w:val="0"/>
          <w:marRight w:val="0"/>
          <w:marTop w:val="0"/>
          <w:marBottom w:val="0"/>
          <w:divBdr>
            <w:top w:val="single" w:sz="2" w:space="0" w:color="auto"/>
            <w:left w:val="single" w:sz="2" w:space="0" w:color="auto"/>
            <w:bottom w:val="single" w:sz="2" w:space="0" w:color="auto"/>
            <w:right w:val="single" w:sz="2" w:space="0" w:color="auto"/>
          </w:divBdr>
          <w:divsChild>
            <w:div w:id="1520193797">
              <w:marLeft w:val="0"/>
              <w:marRight w:val="0"/>
              <w:marTop w:val="0"/>
              <w:marBottom w:val="0"/>
              <w:divBdr>
                <w:top w:val="single" w:sz="2" w:space="0" w:color="auto"/>
                <w:left w:val="single" w:sz="2" w:space="0" w:color="auto"/>
                <w:bottom w:val="single" w:sz="2" w:space="0" w:color="auto"/>
                <w:right w:val="single" w:sz="2" w:space="0" w:color="auto"/>
              </w:divBdr>
              <w:divsChild>
                <w:div w:id="787436372">
                  <w:marLeft w:val="0"/>
                  <w:marRight w:val="0"/>
                  <w:marTop w:val="0"/>
                  <w:marBottom w:val="0"/>
                  <w:divBdr>
                    <w:top w:val="single" w:sz="2" w:space="0" w:color="auto"/>
                    <w:left w:val="single" w:sz="2" w:space="0" w:color="auto"/>
                    <w:bottom w:val="single" w:sz="2" w:space="0" w:color="auto"/>
                    <w:right w:val="single" w:sz="2" w:space="0" w:color="auto"/>
                  </w:divBdr>
                  <w:divsChild>
                    <w:div w:id="130681101">
                      <w:marLeft w:val="0"/>
                      <w:marRight w:val="0"/>
                      <w:marTop w:val="0"/>
                      <w:marBottom w:val="0"/>
                      <w:divBdr>
                        <w:top w:val="single" w:sz="2" w:space="0" w:color="auto"/>
                        <w:left w:val="single" w:sz="2" w:space="0" w:color="auto"/>
                        <w:bottom w:val="single" w:sz="2" w:space="0" w:color="auto"/>
                        <w:right w:val="single" w:sz="2" w:space="0" w:color="auto"/>
                      </w:divBdr>
                      <w:divsChild>
                        <w:div w:id="1846478588">
                          <w:marLeft w:val="0"/>
                          <w:marRight w:val="0"/>
                          <w:marTop w:val="0"/>
                          <w:marBottom w:val="0"/>
                          <w:divBdr>
                            <w:top w:val="single" w:sz="2" w:space="0" w:color="auto"/>
                            <w:left w:val="single" w:sz="2" w:space="0" w:color="auto"/>
                            <w:bottom w:val="single" w:sz="2" w:space="0" w:color="auto"/>
                            <w:right w:val="single" w:sz="2" w:space="0" w:color="auto"/>
                          </w:divBdr>
                          <w:divsChild>
                            <w:div w:id="2039162015">
                              <w:marLeft w:val="0"/>
                              <w:marRight w:val="0"/>
                              <w:marTop w:val="0"/>
                              <w:marBottom w:val="0"/>
                              <w:divBdr>
                                <w:top w:val="single" w:sz="2" w:space="0" w:color="auto"/>
                                <w:left w:val="single" w:sz="2" w:space="0" w:color="auto"/>
                                <w:bottom w:val="single" w:sz="2" w:space="0" w:color="auto"/>
                                <w:right w:val="single" w:sz="2" w:space="0" w:color="auto"/>
                              </w:divBdr>
                              <w:divsChild>
                                <w:div w:id="270942663">
                                  <w:marLeft w:val="0"/>
                                  <w:marRight w:val="0"/>
                                  <w:marTop w:val="0"/>
                                  <w:marBottom w:val="0"/>
                                  <w:divBdr>
                                    <w:top w:val="single" w:sz="2" w:space="0" w:color="auto"/>
                                    <w:left w:val="single" w:sz="2" w:space="0" w:color="auto"/>
                                    <w:bottom w:val="single" w:sz="2" w:space="0" w:color="auto"/>
                                    <w:right w:val="single" w:sz="2" w:space="0" w:color="auto"/>
                                  </w:divBdr>
                                  <w:divsChild>
                                    <w:div w:id="870806149">
                                      <w:marLeft w:val="0"/>
                                      <w:marRight w:val="0"/>
                                      <w:marTop w:val="0"/>
                                      <w:marBottom w:val="0"/>
                                      <w:divBdr>
                                        <w:top w:val="single" w:sz="2" w:space="0" w:color="auto"/>
                                        <w:left w:val="single" w:sz="2" w:space="0" w:color="auto"/>
                                        <w:bottom w:val="single" w:sz="2" w:space="0" w:color="auto"/>
                                        <w:right w:val="single" w:sz="2" w:space="0" w:color="auto"/>
                                      </w:divBdr>
                                      <w:divsChild>
                                        <w:div w:id="156437162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81716793">
                                  <w:marLeft w:val="0"/>
                                  <w:marRight w:val="0"/>
                                  <w:marTop w:val="0"/>
                                  <w:marBottom w:val="0"/>
                                  <w:divBdr>
                                    <w:top w:val="single" w:sz="2" w:space="0" w:color="auto"/>
                                    <w:left w:val="single" w:sz="2" w:space="0" w:color="auto"/>
                                    <w:bottom w:val="single" w:sz="2" w:space="0" w:color="auto"/>
                                    <w:right w:val="single" w:sz="2" w:space="0" w:color="auto"/>
                                  </w:divBdr>
                                  <w:divsChild>
                                    <w:div w:id="1055785495">
                                      <w:marLeft w:val="0"/>
                                      <w:marRight w:val="0"/>
                                      <w:marTop w:val="0"/>
                                      <w:marBottom w:val="0"/>
                                      <w:divBdr>
                                        <w:top w:val="single" w:sz="2" w:space="0" w:color="auto"/>
                                        <w:left w:val="single" w:sz="2" w:space="0" w:color="auto"/>
                                        <w:bottom w:val="single" w:sz="2" w:space="0" w:color="auto"/>
                                        <w:right w:val="single" w:sz="2" w:space="0" w:color="auto"/>
                                      </w:divBdr>
                                      <w:divsChild>
                                        <w:div w:id="1283927605">
                                          <w:marLeft w:val="0"/>
                                          <w:marRight w:val="0"/>
                                          <w:marTop w:val="0"/>
                                          <w:marBottom w:val="0"/>
                                          <w:divBdr>
                                            <w:top w:val="single" w:sz="2" w:space="0" w:color="auto"/>
                                            <w:left w:val="single" w:sz="2" w:space="0" w:color="auto"/>
                                            <w:bottom w:val="single" w:sz="2" w:space="0" w:color="auto"/>
                                            <w:right w:val="single" w:sz="2" w:space="0" w:color="auto"/>
                                          </w:divBdr>
                                          <w:divsChild>
                                            <w:div w:id="29788107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682392422">
                      <w:marLeft w:val="0"/>
                      <w:marRight w:val="0"/>
                      <w:marTop w:val="0"/>
                      <w:marBottom w:val="0"/>
                      <w:divBdr>
                        <w:top w:val="single" w:sz="2" w:space="0" w:color="auto"/>
                        <w:left w:val="single" w:sz="2" w:space="0" w:color="auto"/>
                        <w:bottom w:val="single" w:sz="2" w:space="0" w:color="auto"/>
                        <w:right w:val="single" w:sz="2" w:space="0" w:color="auto"/>
                      </w:divBdr>
                      <w:divsChild>
                        <w:div w:id="2067992885">
                          <w:marLeft w:val="0"/>
                          <w:marRight w:val="0"/>
                          <w:marTop w:val="0"/>
                          <w:marBottom w:val="0"/>
                          <w:divBdr>
                            <w:top w:val="single" w:sz="2" w:space="0" w:color="auto"/>
                            <w:left w:val="single" w:sz="2" w:space="0" w:color="auto"/>
                            <w:bottom w:val="single" w:sz="2" w:space="0" w:color="auto"/>
                            <w:right w:val="single" w:sz="2" w:space="0" w:color="auto"/>
                          </w:divBdr>
                          <w:divsChild>
                            <w:div w:id="1211503220">
                              <w:marLeft w:val="15"/>
                              <w:marRight w:val="0"/>
                              <w:marTop w:val="0"/>
                              <w:marBottom w:val="0"/>
                              <w:divBdr>
                                <w:top w:val="single" w:sz="2" w:space="0" w:color="auto"/>
                                <w:left w:val="single" w:sz="2" w:space="0" w:color="auto"/>
                                <w:bottom w:val="single" w:sz="2" w:space="0" w:color="auto"/>
                                <w:right w:val="single" w:sz="2" w:space="0" w:color="auto"/>
                              </w:divBdr>
                              <w:divsChild>
                                <w:div w:id="1744985603">
                                  <w:marLeft w:val="0"/>
                                  <w:marRight w:val="0"/>
                                  <w:marTop w:val="0"/>
                                  <w:marBottom w:val="0"/>
                                  <w:divBdr>
                                    <w:top w:val="single" w:sz="2" w:space="0" w:color="auto"/>
                                    <w:left w:val="single" w:sz="2" w:space="0" w:color="auto"/>
                                    <w:bottom w:val="single" w:sz="2" w:space="0" w:color="auto"/>
                                    <w:right w:val="single" w:sz="2" w:space="0" w:color="auto"/>
                                  </w:divBdr>
                                  <w:divsChild>
                                    <w:div w:id="314915975">
                                      <w:marLeft w:val="0"/>
                                      <w:marRight w:val="0"/>
                                      <w:marTop w:val="0"/>
                                      <w:marBottom w:val="0"/>
                                      <w:divBdr>
                                        <w:top w:val="single" w:sz="2" w:space="0" w:color="auto"/>
                                        <w:left w:val="single" w:sz="2" w:space="0" w:color="auto"/>
                                        <w:bottom w:val="single" w:sz="2" w:space="0" w:color="auto"/>
                                        <w:right w:val="single" w:sz="2" w:space="0" w:color="auto"/>
                                      </w:divBdr>
                                      <w:divsChild>
                                        <w:div w:id="1738282149">
                                          <w:marLeft w:val="0"/>
                                          <w:marRight w:val="0"/>
                                          <w:marTop w:val="0"/>
                                          <w:marBottom w:val="0"/>
                                          <w:divBdr>
                                            <w:top w:val="single" w:sz="2" w:space="0" w:color="auto"/>
                                            <w:left w:val="single" w:sz="2" w:space="0" w:color="auto"/>
                                            <w:bottom w:val="single" w:sz="2" w:space="0" w:color="auto"/>
                                            <w:right w:val="single" w:sz="2" w:space="0" w:color="auto"/>
                                          </w:divBdr>
                                        </w:div>
                                      </w:divsChild>
                                    </w:div>
                                    <w:div w:id="4546373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82594050">
                      <w:marLeft w:val="0"/>
                      <w:marRight w:val="0"/>
                      <w:marTop w:val="0"/>
                      <w:marBottom w:val="0"/>
                      <w:divBdr>
                        <w:top w:val="single" w:sz="2" w:space="0" w:color="auto"/>
                        <w:left w:val="single" w:sz="2" w:space="0" w:color="auto"/>
                        <w:bottom w:val="single" w:sz="2" w:space="0" w:color="auto"/>
                        <w:right w:val="single" w:sz="2" w:space="0" w:color="auto"/>
                      </w:divBdr>
                      <w:divsChild>
                        <w:div w:id="773207253">
                          <w:marLeft w:val="0"/>
                          <w:marRight w:val="0"/>
                          <w:marTop w:val="0"/>
                          <w:marBottom w:val="0"/>
                          <w:divBdr>
                            <w:top w:val="single" w:sz="2" w:space="0" w:color="auto"/>
                            <w:left w:val="single" w:sz="2" w:space="0" w:color="auto"/>
                            <w:bottom w:val="single" w:sz="2" w:space="0" w:color="auto"/>
                            <w:right w:val="single" w:sz="2" w:space="0" w:color="auto"/>
                          </w:divBdr>
                          <w:divsChild>
                            <w:div w:id="348028734">
                              <w:marLeft w:val="15"/>
                              <w:marRight w:val="0"/>
                              <w:marTop w:val="0"/>
                              <w:marBottom w:val="0"/>
                              <w:divBdr>
                                <w:top w:val="single" w:sz="2" w:space="0" w:color="auto"/>
                                <w:left w:val="single" w:sz="2" w:space="0" w:color="auto"/>
                                <w:bottom w:val="single" w:sz="2" w:space="0" w:color="auto"/>
                                <w:right w:val="single" w:sz="2" w:space="0" w:color="auto"/>
                              </w:divBdr>
                              <w:divsChild>
                                <w:div w:id="1094858176">
                                  <w:marLeft w:val="0"/>
                                  <w:marRight w:val="0"/>
                                  <w:marTop w:val="0"/>
                                  <w:marBottom w:val="0"/>
                                  <w:divBdr>
                                    <w:top w:val="single" w:sz="2" w:space="0" w:color="auto"/>
                                    <w:left w:val="single" w:sz="2" w:space="0" w:color="auto"/>
                                    <w:bottom w:val="single" w:sz="2" w:space="0" w:color="auto"/>
                                    <w:right w:val="single" w:sz="2" w:space="0" w:color="auto"/>
                                  </w:divBdr>
                                  <w:divsChild>
                                    <w:div w:id="653945792">
                                      <w:marLeft w:val="0"/>
                                      <w:marRight w:val="0"/>
                                      <w:marTop w:val="0"/>
                                      <w:marBottom w:val="0"/>
                                      <w:divBdr>
                                        <w:top w:val="single" w:sz="2" w:space="0" w:color="auto"/>
                                        <w:left w:val="single" w:sz="2" w:space="0" w:color="auto"/>
                                        <w:bottom w:val="single" w:sz="2" w:space="0" w:color="auto"/>
                                        <w:right w:val="single" w:sz="2" w:space="0" w:color="auto"/>
                                      </w:divBdr>
                                    </w:div>
                                    <w:div w:id="1274552039">
                                      <w:marLeft w:val="0"/>
                                      <w:marRight w:val="0"/>
                                      <w:marTop w:val="0"/>
                                      <w:marBottom w:val="0"/>
                                      <w:divBdr>
                                        <w:top w:val="single" w:sz="2" w:space="0" w:color="auto"/>
                                        <w:left w:val="single" w:sz="2" w:space="0" w:color="auto"/>
                                        <w:bottom w:val="single" w:sz="2" w:space="0" w:color="auto"/>
                                        <w:right w:val="single" w:sz="2" w:space="0" w:color="auto"/>
                                      </w:divBdr>
                                      <w:divsChild>
                                        <w:div w:id="137619438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641836790">
                      <w:marLeft w:val="0"/>
                      <w:marRight w:val="0"/>
                      <w:marTop w:val="0"/>
                      <w:marBottom w:val="0"/>
                      <w:divBdr>
                        <w:top w:val="single" w:sz="2" w:space="0" w:color="auto"/>
                        <w:left w:val="single" w:sz="2" w:space="0" w:color="auto"/>
                        <w:bottom w:val="single" w:sz="2" w:space="0" w:color="auto"/>
                        <w:right w:val="single" w:sz="2" w:space="0" w:color="auto"/>
                      </w:divBdr>
                      <w:divsChild>
                        <w:div w:id="1229612518">
                          <w:marLeft w:val="0"/>
                          <w:marRight w:val="0"/>
                          <w:marTop w:val="0"/>
                          <w:marBottom w:val="0"/>
                          <w:divBdr>
                            <w:top w:val="single" w:sz="2" w:space="0" w:color="auto"/>
                            <w:left w:val="single" w:sz="2" w:space="0" w:color="auto"/>
                            <w:bottom w:val="single" w:sz="2" w:space="0" w:color="auto"/>
                            <w:right w:val="single" w:sz="2" w:space="0" w:color="auto"/>
                          </w:divBdr>
                          <w:divsChild>
                            <w:div w:id="639113193">
                              <w:marLeft w:val="0"/>
                              <w:marRight w:val="0"/>
                              <w:marTop w:val="0"/>
                              <w:marBottom w:val="0"/>
                              <w:divBdr>
                                <w:top w:val="single" w:sz="2" w:space="0" w:color="auto"/>
                                <w:left w:val="single" w:sz="2" w:space="0" w:color="auto"/>
                                <w:bottom w:val="single" w:sz="2" w:space="0" w:color="auto"/>
                                <w:right w:val="single" w:sz="2" w:space="0" w:color="auto"/>
                              </w:divBdr>
                              <w:divsChild>
                                <w:div w:id="538475823">
                                  <w:marLeft w:val="0"/>
                                  <w:marRight w:val="0"/>
                                  <w:marTop w:val="0"/>
                                  <w:marBottom w:val="0"/>
                                  <w:divBdr>
                                    <w:top w:val="single" w:sz="2" w:space="0" w:color="auto"/>
                                    <w:left w:val="single" w:sz="2" w:space="0" w:color="auto"/>
                                    <w:bottom w:val="single" w:sz="2" w:space="0" w:color="auto"/>
                                    <w:right w:val="single" w:sz="2" w:space="0" w:color="auto"/>
                                  </w:divBdr>
                                  <w:divsChild>
                                    <w:div w:id="237061950">
                                      <w:marLeft w:val="0"/>
                                      <w:marRight w:val="0"/>
                                      <w:marTop w:val="0"/>
                                      <w:marBottom w:val="0"/>
                                      <w:divBdr>
                                        <w:top w:val="single" w:sz="2" w:space="0" w:color="auto"/>
                                        <w:left w:val="single" w:sz="2" w:space="0" w:color="auto"/>
                                        <w:bottom w:val="single" w:sz="2" w:space="0" w:color="auto"/>
                                        <w:right w:val="single" w:sz="2" w:space="0" w:color="auto"/>
                                      </w:divBdr>
                                      <w:divsChild>
                                        <w:div w:id="58302722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844124096">
          <w:marLeft w:val="0"/>
          <w:marRight w:val="0"/>
          <w:marTop w:val="0"/>
          <w:marBottom w:val="0"/>
          <w:divBdr>
            <w:top w:val="single" w:sz="2" w:space="0" w:color="auto"/>
            <w:left w:val="single" w:sz="2" w:space="0" w:color="auto"/>
            <w:bottom w:val="single" w:sz="2" w:space="0" w:color="auto"/>
            <w:right w:val="single" w:sz="2" w:space="0" w:color="auto"/>
          </w:divBdr>
          <w:divsChild>
            <w:div w:id="1317564420">
              <w:marLeft w:val="0"/>
              <w:marRight w:val="0"/>
              <w:marTop w:val="0"/>
              <w:marBottom w:val="0"/>
              <w:divBdr>
                <w:top w:val="single" w:sz="2" w:space="0" w:color="auto"/>
                <w:left w:val="single" w:sz="2" w:space="0" w:color="auto"/>
                <w:bottom w:val="single" w:sz="2" w:space="0" w:color="auto"/>
                <w:right w:val="single" w:sz="2" w:space="0" w:color="auto"/>
              </w:divBdr>
              <w:divsChild>
                <w:div w:id="1868828885">
                  <w:marLeft w:val="0"/>
                  <w:marRight w:val="0"/>
                  <w:marTop w:val="0"/>
                  <w:marBottom w:val="0"/>
                  <w:divBdr>
                    <w:top w:val="single" w:sz="2" w:space="0" w:color="auto"/>
                    <w:left w:val="single" w:sz="2" w:space="0" w:color="auto"/>
                    <w:bottom w:val="single" w:sz="2" w:space="0" w:color="auto"/>
                    <w:right w:val="single" w:sz="2" w:space="0" w:color="auto"/>
                  </w:divBdr>
                  <w:divsChild>
                    <w:div w:id="138306997">
                      <w:marLeft w:val="0"/>
                      <w:marRight w:val="0"/>
                      <w:marTop w:val="0"/>
                      <w:marBottom w:val="0"/>
                      <w:divBdr>
                        <w:top w:val="single" w:sz="2" w:space="0" w:color="auto"/>
                        <w:left w:val="single" w:sz="2" w:space="0" w:color="auto"/>
                        <w:bottom w:val="single" w:sz="2" w:space="0" w:color="auto"/>
                        <w:right w:val="single" w:sz="2" w:space="0" w:color="auto"/>
                      </w:divBdr>
                      <w:divsChild>
                        <w:div w:id="108642132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502163651">
      <w:bodyDiv w:val="1"/>
      <w:marLeft w:val="0"/>
      <w:marRight w:val="0"/>
      <w:marTop w:val="0"/>
      <w:marBottom w:val="0"/>
      <w:divBdr>
        <w:top w:val="none" w:sz="0" w:space="0" w:color="auto"/>
        <w:left w:val="none" w:sz="0" w:space="0" w:color="auto"/>
        <w:bottom w:val="none" w:sz="0" w:space="0" w:color="auto"/>
        <w:right w:val="none" w:sz="0" w:space="0" w:color="auto"/>
      </w:divBdr>
    </w:div>
    <w:div w:id="764156552">
      <w:bodyDiv w:val="1"/>
      <w:marLeft w:val="0"/>
      <w:marRight w:val="0"/>
      <w:marTop w:val="0"/>
      <w:marBottom w:val="0"/>
      <w:divBdr>
        <w:top w:val="none" w:sz="0" w:space="0" w:color="auto"/>
        <w:left w:val="none" w:sz="0" w:space="0" w:color="auto"/>
        <w:bottom w:val="none" w:sz="0" w:space="0" w:color="auto"/>
        <w:right w:val="none" w:sz="0" w:space="0" w:color="auto"/>
      </w:divBdr>
      <w:divsChild>
        <w:div w:id="854226773">
          <w:marLeft w:val="0"/>
          <w:marRight w:val="0"/>
          <w:marTop w:val="0"/>
          <w:marBottom w:val="0"/>
          <w:divBdr>
            <w:top w:val="single" w:sz="2" w:space="0" w:color="auto"/>
            <w:left w:val="single" w:sz="2" w:space="0" w:color="auto"/>
            <w:bottom w:val="single" w:sz="2" w:space="0" w:color="auto"/>
            <w:right w:val="single" w:sz="2" w:space="0" w:color="auto"/>
          </w:divBdr>
          <w:divsChild>
            <w:div w:id="1202280288">
              <w:marLeft w:val="0"/>
              <w:marRight w:val="0"/>
              <w:marTop w:val="0"/>
              <w:marBottom w:val="0"/>
              <w:divBdr>
                <w:top w:val="single" w:sz="2" w:space="0" w:color="auto"/>
                <w:left w:val="single" w:sz="2" w:space="0" w:color="auto"/>
                <w:bottom w:val="single" w:sz="2" w:space="0" w:color="auto"/>
                <w:right w:val="single" w:sz="2" w:space="0" w:color="auto"/>
              </w:divBdr>
              <w:divsChild>
                <w:div w:id="1358654770">
                  <w:marLeft w:val="0"/>
                  <w:marRight w:val="0"/>
                  <w:marTop w:val="0"/>
                  <w:marBottom w:val="0"/>
                  <w:divBdr>
                    <w:top w:val="single" w:sz="2" w:space="0" w:color="auto"/>
                    <w:left w:val="single" w:sz="2" w:space="0" w:color="auto"/>
                    <w:bottom w:val="single" w:sz="2" w:space="0" w:color="auto"/>
                    <w:right w:val="single" w:sz="2" w:space="0" w:color="auto"/>
                  </w:divBdr>
                  <w:divsChild>
                    <w:div w:id="145516191">
                      <w:marLeft w:val="0"/>
                      <w:marRight w:val="0"/>
                      <w:marTop w:val="0"/>
                      <w:marBottom w:val="0"/>
                      <w:divBdr>
                        <w:top w:val="single" w:sz="2" w:space="0" w:color="auto"/>
                        <w:left w:val="single" w:sz="2" w:space="0" w:color="auto"/>
                        <w:bottom w:val="single" w:sz="2" w:space="0" w:color="auto"/>
                        <w:right w:val="single" w:sz="2" w:space="0" w:color="auto"/>
                      </w:divBdr>
                      <w:divsChild>
                        <w:div w:id="1731224193">
                          <w:marLeft w:val="0"/>
                          <w:marRight w:val="0"/>
                          <w:marTop w:val="0"/>
                          <w:marBottom w:val="0"/>
                          <w:divBdr>
                            <w:top w:val="single" w:sz="2" w:space="0" w:color="auto"/>
                            <w:left w:val="single" w:sz="2" w:space="0" w:color="auto"/>
                            <w:bottom w:val="single" w:sz="2" w:space="0" w:color="auto"/>
                            <w:right w:val="single" w:sz="2" w:space="0" w:color="auto"/>
                          </w:divBdr>
                          <w:divsChild>
                            <w:div w:id="1471172526">
                              <w:marLeft w:val="15"/>
                              <w:marRight w:val="0"/>
                              <w:marTop w:val="0"/>
                              <w:marBottom w:val="0"/>
                              <w:divBdr>
                                <w:top w:val="single" w:sz="2" w:space="0" w:color="auto"/>
                                <w:left w:val="single" w:sz="2" w:space="0" w:color="auto"/>
                                <w:bottom w:val="single" w:sz="2" w:space="0" w:color="auto"/>
                                <w:right w:val="single" w:sz="2" w:space="0" w:color="auto"/>
                              </w:divBdr>
                              <w:divsChild>
                                <w:div w:id="699626803">
                                  <w:marLeft w:val="0"/>
                                  <w:marRight w:val="0"/>
                                  <w:marTop w:val="0"/>
                                  <w:marBottom w:val="0"/>
                                  <w:divBdr>
                                    <w:top w:val="single" w:sz="2" w:space="0" w:color="auto"/>
                                    <w:left w:val="single" w:sz="2" w:space="0" w:color="auto"/>
                                    <w:bottom w:val="single" w:sz="2" w:space="0" w:color="auto"/>
                                    <w:right w:val="single" w:sz="2" w:space="0" w:color="auto"/>
                                  </w:divBdr>
                                  <w:divsChild>
                                    <w:div w:id="700135282">
                                      <w:marLeft w:val="0"/>
                                      <w:marRight w:val="0"/>
                                      <w:marTop w:val="0"/>
                                      <w:marBottom w:val="0"/>
                                      <w:divBdr>
                                        <w:top w:val="single" w:sz="2" w:space="0" w:color="auto"/>
                                        <w:left w:val="single" w:sz="2" w:space="0" w:color="auto"/>
                                        <w:bottom w:val="single" w:sz="2" w:space="0" w:color="auto"/>
                                        <w:right w:val="single" w:sz="2" w:space="0" w:color="auto"/>
                                      </w:divBdr>
                                    </w:div>
                                    <w:div w:id="1517116020">
                                      <w:marLeft w:val="0"/>
                                      <w:marRight w:val="0"/>
                                      <w:marTop w:val="0"/>
                                      <w:marBottom w:val="0"/>
                                      <w:divBdr>
                                        <w:top w:val="single" w:sz="2" w:space="0" w:color="auto"/>
                                        <w:left w:val="single" w:sz="2" w:space="0" w:color="auto"/>
                                        <w:bottom w:val="single" w:sz="2" w:space="0" w:color="auto"/>
                                        <w:right w:val="single" w:sz="2" w:space="0" w:color="auto"/>
                                      </w:divBdr>
                                      <w:divsChild>
                                        <w:div w:id="32200442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271208180">
                      <w:marLeft w:val="0"/>
                      <w:marRight w:val="0"/>
                      <w:marTop w:val="0"/>
                      <w:marBottom w:val="0"/>
                      <w:divBdr>
                        <w:top w:val="single" w:sz="2" w:space="0" w:color="auto"/>
                        <w:left w:val="single" w:sz="2" w:space="0" w:color="auto"/>
                        <w:bottom w:val="single" w:sz="2" w:space="0" w:color="auto"/>
                        <w:right w:val="single" w:sz="2" w:space="0" w:color="auto"/>
                      </w:divBdr>
                      <w:divsChild>
                        <w:div w:id="1761293950">
                          <w:marLeft w:val="0"/>
                          <w:marRight w:val="0"/>
                          <w:marTop w:val="0"/>
                          <w:marBottom w:val="0"/>
                          <w:divBdr>
                            <w:top w:val="single" w:sz="2" w:space="0" w:color="auto"/>
                            <w:left w:val="single" w:sz="2" w:space="0" w:color="auto"/>
                            <w:bottom w:val="single" w:sz="2" w:space="0" w:color="auto"/>
                            <w:right w:val="single" w:sz="2" w:space="0" w:color="auto"/>
                          </w:divBdr>
                          <w:divsChild>
                            <w:div w:id="862325136">
                              <w:marLeft w:val="15"/>
                              <w:marRight w:val="0"/>
                              <w:marTop w:val="0"/>
                              <w:marBottom w:val="0"/>
                              <w:divBdr>
                                <w:top w:val="single" w:sz="2" w:space="0" w:color="auto"/>
                                <w:left w:val="single" w:sz="2" w:space="0" w:color="auto"/>
                                <w:bottom w:val="single" w:sz="2" w:space="0" w:color="auto"/>
                                <w:right w:val="single" w:sz="2" w:space="0" w:color="auto"/>
                              </w:divBdr>
                              <w:divsChild>
                                <w:div w:id="437145724">
                                  <w:marLeft w:val="0"/>
                                  <w:marRight w:val="0"/>
                                  <w:marTop w:val="0"/>
                                  <w:marBottom w:val="0"/>
                                  <w:divBdr>
                                    <w:top w:val="single" w:sz="2" w:space="0" w:color="auto"/>
                                    <w:left w:val="single" w:sz="2" w:space="0" w:color="auto"/>
                                    <w:bottom w:val="single" w:sz="2" w:space="0" w:color="auto"/>
                                    <w:right w:val="single" w:sz="2" w:space="0" w:color="auto"/>
                                  </w:divBdr>
                                  <w:divsChild>
                                    <w:div w:id="361979560">
                                      <w:marLeft w:val="0"/>
                                      <w:marRight w:val="0"/>
                                      <w:marTop w:val="0"/>
                                      <w:marBottom w:val="0"/>
                                      <w:divBdr>
                                        <w:top w:val="single" w:sz="2" w:space="0" w:color="auto"/>
                                        <w:left w:val="single" w:sz="2" w:space="0" w:color="auto"/>
                                        <w:bottom w:val="single" w:sz="2" w:space="0" w:color="auto"/>
                                        <w:right w:val="single" w:sz="2" w:space="0" w:color="auto"/>
                                      </w:divBdr>
                                      <w:divsChild>
                                        <w:div w:id="588926248">
                                          <w:marLeft w:val="0"/>
                                          <w:marRight w:val="0"/>
                                          <w:marTop w:val="0"/>
                                          <w:marBottom w:val="0"/>
                                          <w:divBdr>
                                            <w:top w:val="single" w:sz="2" w:space="0" w:color="auto"/>
                                            <w:left w:val="single" w:sz="2" w:space="0" w:color="auto"/>
                                            <w:bottom w:val="single" w:sz="2" w:space="0" w:color="auto"/>
                                            <w:right w:val="single" w:sz="2" w:space="0" w:color="auto"/>
                                          </w:divBdr>
                                        </w:div>
                                      </w:divsChild>
                                    </w:div>
                                    <w:div w:id="202474870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336352835">
                      <w:marLeft w:val="0"/>
                      <w:marRight w:val="0"/>
                      <w:marTop w:val="0"/>
                      <w:marBottom w:val="0"/>
                      <w:divBdr>
                        <w:top w:val="single" w:sz="2" w:space="0" w:color="auto"/>
                        <w:left w:val="single" w:sz="2" w:space="0" w:color="auto"/>
                        <w:bottom w:val="single" w:sz="2" w:space="0" w:color="auto"/>
                        <w:right w:val="single" w:sz="2" w:space="0" w:color="auto"/>
                      </w:divBdr>
                      <w:divsChild>
                        <w:div w:id="30150861">
                          <w:marLeft w:val="0"/>
                          <w:marRight w:val="0"/>
                          <w:marTop w:val="0"/>
                          <w:marBottom w:val="0"/>
                          <w:divBdr>
                            <w:top w:val="single" w:sz="2" w:space="0" w:color="auto"/>
                            <w:left w:val="single" w:sz="2" w:space="0" w:color="auto"/>
                            <w:bottom w:val="single" w:sz="2" w:space="0" w:color="auto"/>
                            <w:right w:val="single" w:sz="2" w:space="0" w:color="auto"/>
                          </w:divBdr>
                          <w:divsChild>
                            <w:div w:id="652679263">
                              <w:marLeft w:val="15"/>
                              <w:marRight w:val="0"/>
                              <w:marTop w:val="0"/>
                              <w:marBottom w:val="0"/>
                              <w:divBdr>
                                <w:top w:val="single" w:sz="2" w:space="0" w:color="auto"/>
                                <w:left w:val="single" w:sz="2" w:space="0" w:color="auto"/>
                                <w:bottom w:val="single" w:sz="2" w:space="0" w:color="auto"/>
                                <w:right w:val="single" w:sz="2" w:space="0" w:color="auto"/>
                              </w:divBdr>
                              <w:divsChild>
                                <w:div w:id="1312515540">
                                  <w:marLeft w:val="0"/>
                                  <w:marRight w:val="0"/>
                                  <w:marTop w:val="0"/>
                                  <w:marBottom w:val="0"/>
                                  <w:divBdr>
                                    <w:top w:val="single" w:sz="2" w:space="0" w:color="auto"/>
                                    <w:left w:val="single" w:sz="2" w:space="0" w:color="auto"/>
                                    <w:bottom w:val="single" w:sz="2" w:space="0" w:color="auto"/>
                                    <w:right w:val="single" w:sz="2" w:space="0" w:color="auto"/>
                                  </w:divBdr>
                                  <w:divsChild>
                                    <w:div w:id="1079521205">
                                      <w:marLeft w:val="0"/>
                                      <w:marRight w:val="0"/>
                                      <w:marTop w:val="0"/>
                                      <w:marBottom w:val="0"/>
                                      <w:divBdr>
                                        <w:top w:val="single" w:sz="2" w:space="0" w:color="auto"/>
                                        <w:left w:val="single" w:sz="2" w:space="0" w:color="auto"/>
                                        <w:bottom w:val="single" w:sz="2" w:space="0" w:color="auto"/>
                                        <w:right w:val="single" w:sz="2" w:space="0" w:color="auto"/>
                                      </w:divBdr>
                                      <w:divsChild>
                                        <w:div w:id="1081677113">
                                          <w:marLeft w:val="0"/>
                                          <w:marRight w:val="0"/>
                                          <w:marTop w:val="0"/>
                                          <w:marBottom w:val="0"/>
                                          <w:divBdr>
                                            <w:top w:val="single" w:sz="2" w:space="0" w:color="auto"/>
                                            <w:left w:val="single" w:sz="2" w:space="0" w:color="auto"/>
                                            <w:bottom w:val="single" w:sz="2" w:space="0" w:color="auto"/>
                                            <w:right w:val="single" w:sz="2" w:space="0" w:color="auto"/>
                                          </w:divBdr>
                                        </w:div>
                                      </w:divsChild>
                                    </w:div>
                                    <w:div w:id="141573881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713041730">
                      <w:marLeft w:val="0"/>
                      <w:marRight w:val="0"/>
                      <w:marTop w:val="0"/>
                      <w:marBottom w:val="0"/>
                      <w:divBdr>
                        <w:top w:val="single" w:sz="2" w:space="0" w:color="auto"/>
                        <w:left w:val="single" w:sz="2" w:space="0" w:color="auto"/>
                        <w:bottom w:val="single" w:sz="2" w:space="0" w:color="auto"/>
                        <w:right w:val="single" w:sz="2" w:space="0" w:color="auto"/>
                      </w:divBdr>
                      <w:divsChild>
                        <w:div w:id="2146115834">
                          <w:marLeft w:val="0"/>
                          <w:marRight w:val="0"/>
                          <w:marTop w:val="0"/>
                          <w:marBottom w:val="0"/>
                          <w:divBdr>
                            <w:top w:val="single" w:sz="2" w:space="0" w:color="auto"/>
                            <w:left w:val="single" w:sz="2" w:space="0" w:color="auto"/>
                            <w:bottom w:val="single" w:sz="2" w:space="0" w:color="auto"/>
                            <w:right w:val="single" w:sz="2" w:space="0" w:color="auto"/>
                          </w:divBdr>
                          <w:divsChild>
                            <w:div w:id="1743016138">
                              <w:marLeft w:val="0"/>
                              <w:marRight w:val="0"/>
                              <w:marTop w:val="0"/>
                              <w:marBottom w:val="0"/>
                              <w:divBdr>
                                <w:top w:val="single" w:sz="2" w:space="0" w:color="auto"/>
                                <w:left w:val="single" w:sz="2" w:space="0" w:color="auto"/>
                                <w:bottom w:val="single" w:sz="2" w:space="0" w:color="auto"/>
                                <w:right w:val="single" w:sz="2" w:space="0" w:color="auto"/>
                              </w:divBdr>
                              <w:divsChild>
                                <w:div w:id="1209684148">
                                  <w:marLeft w:val="0"/>
                                  <w:marRight w:val="0"/>
                                  <w:marTop w:val="0"/>
                                  <w:marBottom w:val="0"/>
                                  <w:divBdr>
                                    <w:top w:val="single" w:sz="2" w:space="0" w:color="auto"/>
                                    <w:left w:val="single" w:sz="2" w:space="0" w:color="auto"/>
                                    <w:bottom w:val="single" w:sz="2" w:space="0" w:color="auto"/>
                                    <w:right w:val="single" w:sz="2" w:space="0" w:color="auto"/>
                                  </w:divBdr>
                                  <w:divsChild>
                                    <w:div w:id="941842043">
                                      <w:marLeft w:val="0"/>
                                      <w:marRight w:val="0"/>
                                      <w:marTop w:val="0"/>
                                      <w:marBottom w:val="0"/>
                                      <w:divBdr>
                                        <w:top w:val="single" w:sz="2" w:space="0" w:color="auto"/>
                                        <w:left w:val="single" w:sz="2" w:space="0" w:color="auto"/>
                                        <w:bottom w:val="single" w:sz="2" w:space="0" w:color="auto"/>
                                        <w:right w:val="single" w:sz="2" w:space="0" w:color="auto"/>
                                      </w:divBdr>
                                      <w:divsChild>
                                        <w:div w:id="126106275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9566916">
                                  <w:marLeft w:val="0"/>
                                  <w:marRight w:val="0"/>
                                  <w:marTop w:val="0"/>
                                  <w:marBottom w:val="0"/>
                                  <w:divBdr>
                                    <w:top w:val="single" w:sz="2" w:space="0" w:color="auto"/>
                                    <w:left w:val="single" w:sz="2" w:space="0" w:color="auto"/>
                                    <w:bottom w:val="single" w:sz="2" w:space="0" w:color="auto"/>
                                    <w:right w:val="single" w:sz="2" w:space="0" w:color="auto"/>
                                  </w:divBdr>
                                  <w:divsChild>
                                    <w:div w:id="1747267687">
                                      <w:marLeft w:val="0"/>
                                      <w:marRight w:val="0"/>
                                      <w:marTop w:val="0"/>
                                      <w:marBottom w:val="0"/>
                                      <w:divBdr>
                                        <w:top w:val="single" w:sz="2" w:space="0" w:color="auto"/>
                                        <w:left w:val="single" w:sz="2" w:space="0" w:color="auto"/>
                                        <w:bottom w:val="single" w:sz="2" w:space="0" w:color="auto"/>
                                        <w:right w:val="single" w:sz="2" w:space="0" w:color="auto"/>
                                      </w:divBdr>
                                      <w:divsChild>
                                        <w:div w:id="897399197">
                                          <w:marLeft w:val="0"/>
                                          <w:marRight w:val="0"/>
                                          <w:marTop w:val="0"/>
                                          <w:marBottom w:val="0"/>
                                          <w:divBdr>
                                            <w:top w:val="single" w:sz="2" w:space="0" w:color="auto"/>
                                            <w:left w:val="single" w:sz="2" w:space="0" w:color="auto"/>
                                            <w:bottom w:val="single" w:sz="2" w:space="0" w:color="auto"/>
                                            <w:right w:val="single" w:sz="2" w:space="0" w:color="auto"/>
                                          </w:divBdr>
                                          <w:divsChild>
                                            <w:div w:id="39913203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830221291">
                      <w:marLeft w:val="0"/>
                      <w:marRight w:val="0"/>
                      <w:marTop w:val="0"/>
                      <w:marBottom w:val="0"/>
                      <w:divBdr>
                        <w:top w:val="single" w:sz="2" w:space="0" w:color="auto"/>
                        <w:left w:val="single" w:sz="2" w:space="0" w:color="auto"/>
                        <w:bottom w:val="single" w:sz="2" w:space="0" w:color="auto"/>
                        <w:right w:val="single" w:sz="2" w:space="0" w:color="auto"/>
                      </w:divBdr>
                      <w:divsChild>
                        <w:div w:id="506135063">
                          <w:marLeft w:val="0"/>
                          <w:marRight w:val="0"/>
                          <w:marTop w:val="0"/>
                          <w:marBottom w:val="0"/>
                          <w:divBdr>
                            <w:top w:val="single" w:sz="2" w:space="0" w:color="auto"/>
                            <w:left w:val="single" w:sz="2" w:space="0" w:color="auto"/>
                            <w:bottom w:val="single" w:sz="2" w:space="0" w:color="auto"/>
                            <w:right w:val="single" w:sz="2" w:space="0" w:color="auto"/>
                          </w:divBdr>
                          <w:divsChild>
                            <w:div w:id="382415025">
                              <w:marLeft w:val="15"/>
                              <w:marRight w:val="0"/>
                              <w:marTop w:val="0"/>
                              <w:marBottom w:val="0"/>
                              <w:divBdr>
                                <w:top w:val="single" w:sz="2" w:space="0" w:color="auto"/>
                                <w:left w:val="single" w:sz="2" w:space="0" w:color="auto"/>
                                <w:bottom w:val="single" w:sz="2" w:space="0" w:color="auto"/>
                                <w:right w:val="single" w:sz="2" w:space="0" w:color="auto"/>
                              </w:divBdr>
                              <w:divsChild>
                                <w:div w:id="711465983">
                                  <w:marLeft w:val="0"/>
                                  <w:marRight w:val="0"/>
                                  <w:marTop w:val="0"/>
                                  <w:marBottom w:val="0"/>
                                  <w:divBdr>
                                    <w:top w:val="single" w:sz="2" w:space="0" w:color="auto"/>
                                    <w:left w:val="single" w:sz="2" w:space="0" w:color="auto"/>
                                    <w:bottom w:val="single" w:sz="2" w:space="0" w:color="auto"/>
                                    <w:right w:val="single" w:sz="2" w:space="0" w:color="auto"/>
                                  </w:divBdr>
                                  <w:divsChild>
                                    <w:div w:id="254436206">
                                      <w:marLeft w:val="0"/>
                                      <w:marRight w:val="0"/>
                                      <w:marTop w:val="0"/>
                                      <w:marBottom w:val="0"/>
                                      <w:divBdr>
                                        <w:top w:val="single" w:sz="2" w:space="0" w:color="auto"/>
                                        <w:left w:val="single" w:sz="2" w:space="0" w:color="auto"/>
                                        <w:bottom w:val="single" w:sz="2" w:space="0" w:color="auto"/>
                                        <w:right w:val="single" w:sz="2" w:space="0" w:color="auto"/>
                                      </w:divBdr>
                                      <w:divsChild>
                                        <w:div w:id="1799491469">
                                          <w:marLeft w:val="0"/>
                                          <w:marRight w:val="0"/>
                                          <w:marTop w:val="0"/>
                                          <w:marBottom w:val="0"/>
                                          <w:divBdr>
                                            <w:top w:val="single" w:sz="2" w:space="0" w:color="auto"/>
                                            <w:left w:val="single" w:sz="2" w:space="0" w:color="auto"/>
                                            <w:bottom w:val="single" w:sz="2" w:space="0" w:color="auto"/>
                                            <w:right w:val="single" w:sz="2" w:space="0" w:color="auto"/>
                                          </w:divBdr>
                                        </w:div>
                                      </w:divsChild>
                                    </w:div>
                                    <w:div w:id="45318330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960649636">
                      <w:marLeft w:val="0"/>
                      <w:marRight w:val="0"/>
                      <w:marTop w:val="0"/>
                      <w:marBottom w:val="0"/>
                      <w:divBdr>
                        <w:top w:val="single" w:sz="2" w:space="0" w:color="auto"/>
                        <w:left w:val="single" w:sz="2" w:space="0" w:color="auto"/>
                        <w:bottom w:val="single" w:sz="2" w:space="0" w:color="auto"/>
                        <w:right w:val="single" w:sz="2" w:space="0" w:color="auto"/>
                      </w:divBdr>
                      <w:divsChild>
                        <w:div w:id="1460806613">
                          <w:marLeft w:val="0"/>
                          <w:marRight w:val="0"/>
                          <w:marTop w:val="0"/>
                          <w:marBottom w:val="0"/>
                          <w:divBdr>
                            <w:top w:val="single" w:sz="2" w:space="0" w:color="auto"/>
                            <w:left w:val="single" w:sz="2" w:space="0" w:color="auto"/>
                            <w:bottom w:val="single" w:sz="2" w:space="0" w:color="auto"/>
                            <w:right w:val="single" w:sz="2" w:space="0" w:color="auto"/>
                          </w:divBdr>
                          <w:divsChild>
                            <w:div w:id="1064714480">
                              <w:marLeft w:val="15"/>
                              <w:marRight w:val="0"/>
                              <w:marTop w:val="0"/>
                              <w:marBottom w:val="0"/>
                              <w:divBdr>
                                <w:top w:val="single" w:sz="2" w:space="0" w:color="auto"/>
                                <w:left w:val="single" w:sz="2" w:space="0" w:color="auto"/>
                                <w:bottom w:val="single" w:sz="2" w:space="0" w:color="auto"/>
                                <w:right w:val="single" w:sz="2" w:space="0" w:color="auto"/>
                              </w:divBdr>
                              <w:divsChild>
                                <w:div w:id="1922257657">
                                  <w:marLeft w:val="0"/>
                                  <w:marRight w:val="0"/>
                                  <w:marTop w:val="0"/>
                                  <w:marBottom w:val="0"/>
                                  <w:divBdr>
                                    <w:top w:val="single" w:sz="2" w:space="0" w:color="auto"/>
                                    <w:left w:val="single" w:sz="2" w:space="0" w:color="auto"/>
                                    <w:bottom w:val="single" w:sz="2" w:space="0" w:color="auto"/>
                                    <w:right w:val="single" w:sz="2" w:space="0" w:color="auto"/>
                                  </w:divBdr>
                                  <w:divsChild>
                                    <w:div w:id="656688555">
                                      <w:marLeft w:val="0"/>
                                      <w:marRight w:val="0"/>
                                      <w:marTop w:val="0"/>
                                      <w:marBottom w:val="0"/>
                                      <w:divBdr>
                                        <w:top w:val="single" w:sz="2" w:space="0" w:color="auto"/>
                                        <w:left w:val="single" w:sz="2" w:space="0" w:color="auto"/>
                                        <w:bottom w:val="single" w:sz="2" w:space="0" w:color="auto"/>
                                        <w:right w:val="single" w:sz="2" w:space="0" w:color="auto"/>
                                      </w:divBdr>
                                      <w:divsChild>
                                        <w:div w:id="1843817203">
                                          <w:marLeft w:val="0"/>
                                          <w:marRight w:val="0"/>
                                          <w:marTop w:val="0"/>
                                          <w:marBottom w:val="0"/>
                                          <w:divBdr>
                                            <w:top w:val="single" w:sz="2" w:space="0" w:color="auto"/>
                                            <w:left w:val="single" w:sz="2" w:space="0" w:color="auto"/>
                                            <w:bottom w:val="single" w:sz="2" w:space="0" w:color="auto"/>
                                            <w:right w:val="single" w:sz="2" w:space="0" w:color="auto"/>
                                          </w:divBdr>
                                        </w:div>
                                      </w:divsChild>
                                    </w:div>
                                    <w:div w:id="106124985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47997923">
                      <w:marLeft w:val="0"/>
                      <w:marRight w:val="0"/>
                      <w:marTop w:val="0"/>
                      <w:marBottom w:val="0"/>
                      <w:divBdr>
                        <w:top w:val="single" w:sz="2" w:space="0" w:color="auto"/>
                        <w:left w:val="single" w:sz="2" w:space="0" w:color="auto"/>
                        <w:bottom w:val="single" w:sz="2" w:space="0" w:color="auto"/>
                        <w:right w:val="single" w:sz="2" w:space="0" w:color="auto"/>
                      </w:divBdr>
                      <w:divsChild>
                        <w:div w:id="2049644877">
                          <w:marLeft w:val="0"/>
                          <w:marRight w:val="0"/>
                          <w:marTop w:val="0"/>
                          <w:marBottom w:val="0"/>
                          <w:divBdr>
                            <w:top w:val="single" w:sz="2" w:space="0" w:color="auto"/>
                            <w:left w:val="single" w:sz="2" w:space="0" w:color="auto"/>
                            <w:bottom w:val="single" w:sz="2" w:space="0" w:color="auto"/>
                            <w:right w:val="single" w:sz="2" w:space="0" w:color="auto"/>
                          </w:divBdr>
                          <w:divsChild>
                            <w:div w:id="1604875879">
                              <w:marLeft w:val="0"/>
                              <w:marRight w:val="0"/>
                              <w:marTop w:val="0"/>
                              <w:marBottom w:val="0"/>
                              <w:divBdr>
                                <w:top w:val="single" w:sz="2" w:space="0" w:color="auto"/>
                                <w:left w:val="single" w:sz="2" w:space="0" w:color="auto"/>
                                <w:bottom w:val="single" w:sz="2" w:space="0" w:color="auto"/>
                                <w:right w:val="single" w:sz="2" w:space="0" w:color="auto"/>
                              </w:divBdr>
                              <w:divsChild>
                                <w:div w:id="762338407">
                                  <w:marLeft w:val="0"/>
                                  <w:marRight w:val="0"/>
                                  <w:marTop w:val="0"/>
                                  <w:marBottom w:val="0"/>
                                  <w:divBdr>
                                    <w:top w:val="single" w:sz="2" w:space="0" w:color="auto"/>
                                    <w:left w:val="single" w:sz="2" w:space="0" w:color="auto"/>
                                    <w:bottom w:val="single" w:sz="2" w:space="0" w:color="auto"/>
                                    <w:right w:val="single" w:sz="2" w:space="0" w:color="auto"/>
                                  </w:divBdr>
                                  <w:divsChild>
                                    <w:div w:id="1416052014">
                                      <w:marLeft w:val="0"/>
                                      <w:marRight w:val="0"/>
                                      <w:marTop w:val="0"/>
                                      <w:marBottom w:val="0"/>
                                      <w:divBdr>
                                        <w:top w:val="single" w:sz="2" w:space="0" w:color="auto"/>
                                        <w:left w:val="single" w:sz="2" w:space="0" w:color="auto"/>
                                        <w:bottom w:val="single" w:sz="2" w:space="0" w:color="auto"/>
                                        <w:right w:val="single" w:sz="2" w:space="0" w:color="auto"/>
                                      </w:divBdr>
                                      <w:divsChild>
                                        <w:div w:id="153441885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14952059">
                                  <w:marLeft w:val="0"/>
                                  <w:marRight w:val="0"/>
                                  <w:marTop w:val="0"/>
                                  <w:marBottom w:val="0"/>
                                  <w:divBdr>
                                    <w:top w:val="single" w:sz="2" w:space="0" w:color="auto"/>
                                    <w:left w:val="single" w:sz="2" w:space="0" w:color="auto"/>
                                    <w:bottom w:val="single" w:sz="2" w:space="0" w:color="auto"/>
                                    <w:right w:val="single" w:sz="2" w:space="0" w:color="auto"/>
                                  </w:divBdr>
                                  <w:divsChild>
                                    <w:div w:id="117917093">
                                      <w:marLeft w:val="0"/>
                                      <w:marRight w:val="0"/>
                                      <w:marTop w:val="0"/>
                                      <w:marBottom w:val="0"/>
                                      <w:divBdr>
                                        <w:top w:val="single" w:sz="2" w:space="0" w:color="auto"/>
                                        <w:left w:val="single" w:sz="2" w:space="0" w:color="auto"/>
                                        <w:bottom w:val="single" w:sz="2" w:space="0" w:color="auto"/>
                                        <w:right w:val="single" w:sz="2" w:space="0" w:color="auto"/>
                                      </w:divBdr>
                                      <w:divsChild>
                                        <w:div w:id="52510755">
                                          <w:marLeft w:val="0"/>
                                          <w:marRight w:val="0"/>
                                          <w:marTop w:val="0"/>
                                          <w:marBottom w:val="0"/>
                                          <w:divBdr>
                                            <w:top w:val="single" w:sz="2" w:space="0" w:color="auto"/>
                                            <w:left w:val="single" w:sz="2" w:space="0" w:color="auto"/>
                                            <w:bottom w:val="single" w:sz="2" w:space="0" w:color="auto"/>
                                            <w:right w:val="single" w:sz="2" w:space="0" w:color="auto"/>
                                          </w:divBdr>
                                          <w:divsChild>
                                            <w:div w:id="209816236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091506603">
                      <w:marLeft w:val="0"/>
                      <w:marRight w:val="0"/>
                      <w:marTop w:val="0"/>
                      <w:marBottom w:val="0"/>
                      <w:divBdr>
                        <w:top w:val="single" w:sz="2" w:space="0" w:color="auto"/>
                        <w:left w:val="single" w:sz="2" w:space="0" w:color="auto"/>
                        <w:bottom w:val="single" w:sz="2" w:space="0" w:color="auto"/>
                        <w:right w:val="single" w:sz="2" w:space="0" w:color="auto"/>
                      </w:divBdr>
                      <w:divsChild>
                        <w:div w:id="1024790737">
                          <w:marLeft w:val="0"/>
                          <w:marRight w:val="0"/>
                          <w:marTop w:val="0"/>
                          <w:marBottom w:val="0"/>
                          <w:divBdr>
                            <w:top w:val="single" w:sz="2" w:space="0" w:color="auto"/>
                            <w:left w:val="single" w:sz="2" w:space="0" w:color="auto"/>
                            <w:bottom w:val="single" w:sz="2" w:space="0" w:color="auto"/>
                            <w:right w:val="single" w:sz="2" w:space="0" w:color="auto"/>
                          </w:divBdr>
                          <w:divsChild>
                            <w:div w:id="1394503956">
                              <w:marLeft w:val="0"/>
                              <w:marRight w:val="0"/>
                              <w:marTop w:val="0"/>
                              <w:marBottom w:val="0"/>
                              <w:divBdr>
                                <w:top w:val="single" w:sz="2" w:space="0" w:color="auto"/>
                                <w:left w:val="single" w:sz="2" w:space="0" w:color="auto"/>
                                <w:bottom w:val="single" w:sz="2" w:space="0" w:color="auto"/>
                                <w:right w:val="single" w:sz="2" w:space="0" w:color="auto"/>
                              </w:divBdr>
                              <w:divsChild>
                                <w:div w:id="462162590">
                                  <w:marLeft w:val="0"/>
                                  <w:marRight w:val="0"/>
                                  <w:marTop w:val="0"/>
                                  <w:marBottom w:val="0"/>
                                  <w:divBdr>
                                    <w:top w:val="single" w:sz="2" w:space="0" w:color="auto"/>
                                    <w:left w:val="single" w:sz="2" w:space="0" w:color="auto"/>
                                    <w:bottom w:val="single" w:sz="2" w:space="0" w:color="auto"/>
                                    <w:right w:val="single" w:sz="2" w:space="0" w:color="auto"/>
                                  </w:divBdr>
                                  <w:divsChild>
                                    <w:div w:id="248193914">
                                      <w:marLeft w:val="0"/>
                                      <w:marRight w:val="0"/>
                                      <w:marTop w:val="0"/>
                                      <w:marBottom w:val="0"/>
                                      <w:divBdr>
                                        <w:top w:val="single" w:sz="2" w:space="0" w:color="auto"/>
                                        <w:left w:val="single" w:sz="2" w:space="0" w:color="auto"/>
                                        <w:bottom w:val="single" w:sz="2" w:space="0" w:color="auto"/>
                                        <w:right w:val="single" w:sz="2" w:space="0" w:color="auto"/>
                                      </w:divBdr>
                                      <w:divsChild>
                                        <w:div w:id="20694545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327707893">
                      <w:marLeft w:val="0"/>
                      <w:marRight w:val="0"/>
                      <w:marTop w:val="0"/>
                      <w:marBottom w:val="0"/>
                      <w:divBdr>
                        <w:top w:val="single" w:sz="2" w:space="0" w:color="auto"/>
                        <w:left w:val="single" w:sz="2" w:space="0" w:color="auto"/>
                        <w:bottom w:val="single" w:sz="2" w:space="0" w:color="auto"/>
                        <w:right w:val="single" w:sz="2" w:space="0" w:color="auto"/>
                      </w:divBdr>
                      <w:divsChild>
                        <w:div w:id="689844179">
                          <w:marLeft w:val="0"/>
                          <w:marRight w:val="0"/>
                          <w:marTop w:val="0"/>
                          <w:marBottom w:val="0"/>
                          <w:divBdr>
                            <w:top w:val="single" w:sz="2" w:space="0" w:color="auto"/>
                            <w:left w:val="single" w:sz="2" w:space="0" w:color="auto"/>
                            <w:bottom w:val="single" w:sz="2" w:space="0" w:color="auto"/>
                            <w:right w:val="single" w:sz="2" w:space="0" w:color="auto"/>
                          </w:divBdr>
                          <w:divsChild>
                            <w:div w:id="99688935">
                              <w:marLeft w:val="15"/>
                              <w:marRight w:val="0"/>
                              <w:marTop w:val="0"/>
                              <w:marBottom w:val="0"/>
                              <w:divBdr>
                                <w:top w:val="single" w:sz="2" w:space="0" w:color="auto"/>
                                <w:left w:val="single" w:sz="2" w:space="0" w:color="auto"/>
                                <w:bottom w:val="single" w:sz="2" w:space="0" w:color="auto"/>
                                <w:right w:val="single" w:sz="2" w:space="0" w:color="auto"/>
                              </w:divBdr>
                              <w:divsChild>
                                <w:div w:id="687096637">
                                  <w:marLeft w:val="0"/>
                                  <w:marRight w:val="0"/>
                                  <w:marTop w:val="0"/>
                                  <w:marBottom w:val="0"/>
                                  <w:divBdr>
                                    <w:top w:val="single" w:sz="2" w:space="0" w:color="auto"/>
                                    <w:left w:val="single" w:sz="2" w:space="0" w:color="auto"/>
                                    <w:bottom w:val="single" w:sz="2" w:space="0" w:color="auto"/>
                                    <w:right w:val="single" w:sz="2" w:space="0" w:color="auto"/>
                                  </w:divBdr>
                                  <w:divsChild>
                                    <w:div w:id="695237329">
                                      <w:marLeft w:val="0"/>
                                      <w:marRight w:val="0"/>
                                      <w:marTop w:val="0"/>
                                      <w:marBottom w:val="0"/>
                                      <w:divBdr>
                                        <w:top w:val="single" w:sz="2" w:space="0" w:color="auto"/>
                                        <w:left w:val="single" w:sz="2" w:space="0" w:color="auto"/>
                                        <w:bottom w:val="single" w:sz="2" w:space="0" w:color="auto"/>
                                        <w:right w:val="single" w:sz="2" w:space="0" w:color="auto"/>
                                      </w:divBdr>
                                      <w:divsChild>
                                        <w:div w:id="179517418">
                                          <w:marLeft w:val="0"/>
                                          <w:marRight w:val="0"/>
                                          <w:marTop w:val="0"/>
                                          <w:marBottom w:val="0"/>
                                          <w:divBdr>
                                            <w:top w:val="single" w:sz="2" w:space="0" w:color="auto"/>
                                            <w:left w:val="single" w:sz="2" w:space="0" w:color="auto"/>
                                            <w:bottom w:val="single" w:sz="2" w:space="0" w:color="auto"/>
                                            <w:right w:val="single" w:sz="2" w:space="0" w:color="auto"/>
                                          </w:divBdr>
                                        </w:div>
                                      </w:divsChild>
                                    </w:div>
                                    <w:div w:id="128411526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78051049">
                      <w:marLeft w:val="0"/>
                      <w:marRight w:val="0"/>
                      <w:marTop w:val="0"/>
                      <w:marBottom w:val="0"/>
                      <w:divBdr>
                        <w:top w:val="single" w:sz="2" w:space="0" w:color="auto"/>
                        <w:left w:val="single" w:sz="2" w:space="0" w:color="auto"/>
                        <w:bottom w:val="single" w:sz="2" w:space="0" w:color="auto"/>
                        <w:right w:val="single" w:sz="2" w:space="0" w:color="auto"/>
                      </w:divBdr>
                      <w:divsChild>
                        <w:div w:id="1638296552">
                          <w:marLeft w:val="0"/>
                          <w:marRight w:val="0"/>
                          <w:marTop w:val="0"/>
                          <w:marBottom w:val="0"/>
                          <w:divBdr>
                            <w:top w:val="single" w:sz="2" w:space="0" w:color="auto"/>
                            <w:left w:val="single" w:sz="2" w:space="0" w:color="auto"/>
                            <w:bottom w:val="single" w:sz="2" w:space="0" w:color="auto"/>
                            <w:right w:val="single" w:sz="2" w:space="0" w:color="auto"/>
                          </w:divBdr>
                          <w:divsChild>
                            <w:div w:id="434987154">
                              <w:marLeft w:val="0"/>
                              <w:marRight w:val="0"/>
                              <w:marTop w:val="0"/>
                              <w:marBottom w:val="0"/>
                              <w:divBdr>
                                <w:top w:val="single" w:sz="2" w:space="0" w:color="auto"/>
                                <w:left w:val="single" w:sz="2" w:space="0" w:color="auto"/>
                                <w:bottom w:val="single" w:sz="2" w:space="0" w:color="auto"/>
                                <w:right w:val="single" w:sz="2" w:space="0" w:color="auto"/>
                              </w:divBdr>
                              <w:divsChild>
                                <w:div w:id="1067609263">
                                  <w:marLeft w:val="0"/>
                                  <w:marRight w:val="0"/>
                                  <w:marTop w:val="0"/>
                                  <w:marBottom w:val="0"/>
                                  <w:divBdr>
                                    <w:top w:val="single" w:sz="2" w:space="0" w:color="auto"/>
                                    <w:left w:val="single" w:sz="2" w:space="0" w:color="auto"/>
                                    <w:bottom w:val="single" w:sz="2" w:space="0" w:color="auto"/>
                                    <w:right w:val="single" w:sz="2" w:space="0" w:color="auto"/>
                                  </w:divBdr>
                                  <w:divsChild>
                                    <w:div w:id="836923912">
                                      <w:marLeft w:val="0"/>
                                      <w:marRight w:val="0"/>
                                      <w:marTop w:val="0"/>
                                      <w:marBottom w:val="0"/>
                                      <w:divBdr>
                                        <w:top w:val="single" w:sz="2" w:space="0" w:color="auto"/>
                                        <w:left w:val="single" w:sz="2" w:space="0" w:color="auto"/>
                                        <w:bottom w:val="single" w:sz="2" w:space="0" w:color="auto"/>
                                        <w:right w:val="single" w:sz="2" w:space="0" w:color="auto"/>
                                      </w:divBdr>
                                      <w:divsChild>
                                        <w:div w:id="398939657">
                                          <w:marLeft w:val="0"/>
                                          <w:marRight w:val="0"/>
                                          <w:marTop w:val="0"/>
                                          <w:marBottom w:val="0"/>
                                          <w:divBdr>
                                            <w:top w:val="single" w:sz="2" w:space="0" w:color="auto"/>
                                            <w:left w:val="single" w:sz="2" w:space="0" w:color="auto"/>
                                            <w:bottom w:val="single" w:sz="2" w:space="0" w:color="auto"/>
                                            <w:right w:val="single" w:sz="2" w:space="0" w:color="auto"/>
                                          </w:divBdr>
                                          <w:divsChild>
                                            <w:div w:id="133326610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700280352">
                                  <w:marLeft w:val="0"/>
                                  <w:marRight w:val="0"/>
                                  <w:marTop w:val="0"/>
                                  <w:marBottom w:val="0"/>
                                  <w:divBdr>
                                    <w:top w:val="single" w:sz="2" w:space="0" w:color="auto"/>
                                    <w:left w:val="single" w:sz="2" w:space="0" w:color="auto"/>
                                    <w:bottom w:val="single" w:sz="2" w:space="0" w:color="auto"/>
                                    <w:right w:val="single" w:sz="2" w:space="0" w:color="auto"/>
                                  </w:divBdr>
                                  <w:divsChild>
                                    <w:div w:id="432282298">
                                      <w:marLeft w:val="0"/>
                                      <w:marRight w:val="0"/>
                                      <w:marTop w:val="0"/>
                                      <w:marBottom w:val="0"/>
                                      <w:divBdr>
                                        <w:top w:val="single" w:sz="2" w:space="0" w:color="auto"/>
                                        <w:left w:val="single" w:sz="2" w:space="0" w:color="auto"/>
                                        <w:bottom w:val="single" w:sz="2" w:space="0" w:color="auto"/>
                                        <w:right w:val="single" w:sz="2" w:space="0" w:color="auto"/>
                                      </w:divBdr>
                                      <w:divsChild>
                                        <w:div w:id="34710291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679381194">
                      <w:marLeft w:val="0"/>
                      <w:marRight w:val="0"/>
                      <w:marTop w:val="0"/>
                      <w:marBottom w:val="0"/>
                      <w:divBdr>
                        <w:top w:val="single" w:sz="2" w:space="0" w:color="auto"/>
                        <w:left w:val="single" w:sz="2" w:space="0" w:color="auto"/>
                        <w:bottom w:val="single" w:sz="2" w:space="0" w:color="auto"/>
                        <w:right w:val="single" w:sz="2" w:space="0" w:color="auto"/>
                      </w:divBdr>
                      <w:divsChild>
                        <w:div w:id="1157570942">
                          <w:marLeft w:val="0"/>
                          <w:marRight w:val="0"/>
                          <w:marTop w:val="0"/>
                          <w:marBottom w:val="0"/>
                          <w:divBdr>
                            <w:top w:val="single" w:sz="2" w:space="0" w:color="auto"/>
                            <w:left w:val="single" w:sz="2" w:space="0" w:color="auto"/>
                            <w:bottom w:val="single" w:sz="2" w:space="0" w:color="auto"/>
                            <w:right w:val="single" w:sz="2" w:space="0" w:color="auto"/>
                          </w:divBdr>
                          <w:divsChild>
                            <w:div w:id="525103407">
                              <w:marLeft w:val="0"/>
                              <w:marRight w:val="0"/>
                              <w:marTop w:val="0"/>
                              <w:marBottom w:val="0"/>
                              <w:divBdr>
                                <w:top w:val="single" w:sz="2" w:space="0" w:color="auto"/>
                                <w:left w:val="single" w:sz="2" w:space="0" w:color="auto"/>
                                <w:bottom w:val="single" w:sz="2" w:space="0" w:color="auto"/>
                                <w:right w:val="single" w:sz="2" w:space="0" w:color="auto"/>
                              </w:divBdr>
                              <w:divsChild>
                                <w:div w:id="191891063">
                                  <w:marLeft w:val="0"/>
                                  <w:marRight w:val="0"/>
                                  <w:marTop w:val="0"/>
                                  <w:marBottom w:val="0"/>
                                  <w:divBdr>
                                    <w:top w:val="single" w:sz="2" w:space="0" w:color="auto"/>
                                    <w:left w:val="single" w:sz="2" w:space="0" w:color="auto"/>
                                    <w:bottom w:val="single" w:sz="2" w:space="0" w:color="auto"/>
                                    <w:right w:val="single" w:sz="2" w:space="0" w:color="auto"/>
                                  </w:divBdr>
                                  <w:divsChild>
                                    <w:div w:id="422534761">
                                      <w:marLeft w:val="0"/>
                                      <w:marRight w:val="0"/>
                                      <w:marTop w:val="0"/>
                                      <w:marBottom w:val="0"/>
                                      <w:divBdr>
                                        <w:top w:val="single" w:sz="2" w:space="0" w:color="auto"/>
                                        <w:left w:val="single" w:sz="2" w:space="0" w:color="auto"/>
                                        <w:bottom w:val="single" w:sz="2" w:space="0" w:color="auto"/>
                                        <w:right w:val="single" w:sz="2" w:space="0" w:color="auto"/>
                                      </w:divBdr>
                                      <w:divsChild>
                                        <w:div w:id="1314869341">
                                          <w:marLeft w:val="0"/>
                                          <w:marRight w:val="0"/>
                                          <w:marTop w:val="0"/>
                                          <w:marBottom w:val="0"/>
                                          <w:divBdr>
                                            <w:top w:val="single" w:sz="2" w:space="0" w:color="auto"/>
                                            <w:left w:val="single" w:sz="2" w:space="0" w:color="auto"/>
                                            <w:bottom w:val="single" w:sz="2" w:space="0" w:color="auto"/>
                                            <w:right w:val="single" w:sz="2" w:space="0" w:color="auto"/>
                                          </w:divBdr>
                                          <w:divsChild>
                                            <w:div w:id="128234504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79260795">
                                  <w:marLeft w:val="0"/>
                                  <w:marRight w:val="0"/>
                                  <w:marTop w:val="0"/>
                                  <w:marBottom w:val="0"/>
                                  <w:divBdr>
                                    <w:top w:val="single" w:sz="2" w:space="0" w:color="auto"/>
                                    <w:left w:val="single" w:sz="2" w:space="0" w:color="auto"/>
                                    <w:bottom w:val="single" w:sz="2" w:space="0" w:color="auto"/>
                                    <w:right w:val="single" w:sz="2" w:space="0" w:color="auto"/>
                                  </w:divBdr>
                                  <w:divsChild>
                                    <w:div w:id="278489419">
                                      <w:marLeft w:val="0"/>
                                      <w:marRight w:val="0"/>
                                      <w:marTop w:val="0"/>
                                      <w:marBottom w:val="0"/>
                                      <w:divBdr>
                                        <w:top w:val="single" w:sz="2" w:space="0" w:color="auto"/>
                                        <w:left w:val="single" w:sz="2" w:space="0" w:color="auto"/>
                                        <w:bottom w:val="single" w:sz="2" w:space="0" w:color="auto"/>
                                        <w:right w:val="single" w:sz="2" w:space="0" w:color="auto"/>
                                      </w:divBdr>
                                      <w:divsChild>
                                        <w:div w:id="8253100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862041042">
                      <w:marLeft w:val="0"/>
                      <w:marRight w:val="0"/>
                      <w:marTop w:val="0"/>
                      <w:marBottom w:val="0"/>
                      <w:divBdr>
                        <w:top w:val="single" w:sz="2" w:space="0" w:color="auto"/>
                        <w:left w:val="single" w:sz="2" w:space="0" w:color="auto"/>
                        <w:bottom w:val="single" w:sz="2" w:space="0" w:color="auto"/>
                        <w:right w:val="single" w:sz="2" w:space="0" w:color="auto"/>
                      </w:divBdr>
                      <w:divsChild>
                        <w:div w:id="1928690409">
                          <w:marLeft w:val="0"/>
                          <w:marRight w:val="0"/>
                          <w:marTop w:val="0"/>
                          <w:marBottom w:val="0"/>
                          <w:divBdr>
                            <w:top w:val="single" w:sz="2" w:space="0" w:color="auto"/>
                            <w:left w:val="single" w:sz="2" w:space="0" w:color="auto"/>
                            <w:bottom w:val="single" w:sz="2" w:space="0" w:color="auto"/>
                            <w:right w:val="single" w:sz="2" w:space="0" w:color="auto"/>
                          </w:divBdr>
                          <w:divsChild>
                            <w:div w:id="242380487">
                              <w:marLeft w:val="0"/>
                              <w:marRight w:val="0"/>
                              <w:marTop w:val="0"/>
                              <w:marBottom w:val="0"/>
                              <w:divBdr>
                                <w:top w:val="single" w:sz="2" w:space="0" w:color="auto"/>
                                <w:left w:val="single" w:sz="2" w:space="0" w:color="auto"/>
                                <w:bottom w:val="single" w:sz="2" w:space="0" w:color="auto"/>
                                <w:right w:val="single" w:sz="2" w:space="0" w:color="auto"/>
                              </w:divBdr>
                              <w:divsChild>
                                <w:div w:id="1135637836">
                                  <w:marLeft w:val="0"/>
                                  <w:marRight w:val="0"/>
                                  <w:marTop w:val="0"/>
                                  <w:marBottom w:val="0"/>
                                  <w:divBdr>
                                    <w:top w:val="single" w:sz="2" w:space="0" w:color="auto"/>
                                    <w:left w:val="single" w:sz="2" w:space="0" w:color="auto"/>
                                    <w:bottom w:val="single" w:sz="2" w:space="0" w:color="auto"/>
                                    <w:right w:val="single" w:sz="2" w:space="0" w:color="auto"/>
                                  </w:divBdr>
                                  <w:divsChild>
                                    <w:div w:id="1744719169">
                                      <w:marLeft w:val="0"/>
                                      <w:marRight w:val="0"/>
                                      <w:marTop w:val="0"/>
                                      <w:marBottom w:val="0"/>
                                      <w:divBdr>
                                        <w:top w:val="single" w:sz="2" w:space="0" w:color="auto"/>
                                        <w:left w:val="single" w:sz="2" w:space="0" w:color="auto"/>
                                        <w:bottom w:val="single" w:sz="2" w:space="0" w:color="auto"/>
                                        <w:right w:val="single" w:sz="2" w:space="0" w:color="auto"/>
                                      </w:divBdr>
                                      <w:divsChild>
                                        <w:div w:id="1953706791">
                                          <w:marLeft w:val="0"/>
                                          <w:marRight w:val="0"/>
                                          <w:marTop w:val="0"/>
                                          <w:marBottom w:val="0"/>
                                          <w:divBdr>
                                            <w:top w:val="single" w:sz="2" w:space="0" w:color="auto"/>
                                            <w:left w:val="single" w:sz="2" w:space="0" w:color="auto"/>
                                            <w:bottom w:val="single" w:sz="2" w:space="0" w:color="auto"/>
                                            <w:right w:val="single" w:sz="2" w:space="0" w:color="auto"/>
                                          </w:divBdr>
                                          <w:divsChild>
                                            <w:div w:id="45004930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685669884">
                                  <w:marLeft w:val="0"/>
                                  <w:marRight w:val="0"/>
                                  <w:marTop w:val="0"/>
                                  <w:marBottom w:val="0"/>
                                  <w:divBdr>
                                    <w:top w:val="single" w:sz="2" w:space="0" w:color="auto"/>
                                    <w:left w:val="single" w:sz="2" w:space="0" w:color="auto"/>
                                    <w:bottom w:val="single" w:sz="2" w:space="0" w:color="auto"/>
                                    <w:right w:val="single" w:sz="2" w:space="0" w:color="auto"/>
                                  </w:divBdr>
                                  <w:divsChild>
                                    <w:div w:id="551769397">
                                      <w:marLeft w:val="0"/>
                                      <w:marRight w:val="0"/>
                                      <w:marTop w:val="0"/>
                                      <w:marBottom w:val="0"/>
                                      <w:divBdr>
                                        <w:top w:val="single" w:sz="2" w:space="0" w:color="auto"/>
                                        <w:left w:val="single" w:sz="2" w:space="0" w:color="auto"/>
                                        <w:bottom w:val="single" w:sz="2" w:space="0" w:color="auto"/>
                                        <w:right w:val="single" w:sz="2" w:space="0" w:color="auto"/>
                                      </w:divBdr>
                                      <w:divsChild>
                                        <w:div w:id="192992643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789624112">
          <w:marLeft w:val="0"/>
          <w:marRight w:val="0"/>
          <w:marTop w:val="0"/>
          <w:marBottom w:val="0"/>
          <w:divBdr>
            <w:top w:val="single" w:sz="2" w:space="0" w:color="auto"/>
            <w:left w:val="single" w:sz="2" w:space="0" w:color="auto"/>
            <w:bottom w:val="single" w:sz="2" w:space="0" w:color="auto"/>
            <w:right w:val="single" w:sz="2" w:space="0" w:color="auto"/>
          </w:divBdr>
          <w:divsChild>
            <w:div w:id="1718701197">
              <w:marLeft w:val="0"/>
              <w:marRight w:val="0"/>
              <w:marTop w:val="0"/>
              <w:marBottom w:val="0"/>
              <w:divBdr>
                <w:top w:val="single" w:sz="2" w:space="0" w:color="auto"/>
                <w:left w:val="single" w:sz="2" w:space="0" w:color="auto"/>
                <w:bottom w:val="single" w:sz="2" w:space="0" w:color="auto"/>
                <w:right w:val="single" w:sz="2" w:space="0" w:color="auto"/>
              </w:divBdr>
              <w:divsChild>
                <w:div w:id="252518141">
                  <w:marLeft w:val="0"/>
                  <w:marRight w:val="0"/>
                  <w:marTop w:val="0"/>
                  <w:marBottom w:val="0"/>
                  <w:divBdr>
                    <w:top w:val="single" w:sz="2" w:space="0" w:color="auto"/>
                    <w:left w:val="single" w:sz="2" w:space="0" w:color="auto"/>
                    <w:bottom w:val="single" w:sz="2" w:space="0" w:color="auto"/>
                    <w:right w:val="single" w:sz="2" w:space="0" w:color="auto"/>
                  </w:divBdr>
                  <w:divsChild>
                    <w:div w:id="1444614122">
                      <w:marLeft w:val="0"/>
                      <w:marRight w:val="0"/>
                      <w:marTop w:val="0"/>
                      <w:marBottom w:val="0"/>
                      <w:divBdr>
                        <w:top w:val="single" w:sz="2" w:space="0" w:color="auto"/>
                        <w:left w:val="single" w:sz="2" w:space="0" w:color="auto"/>
                        <w:bottom w:val="single" w:sz="2" w:space="0" w:color="auto"/>
                        <w:right w:val="single" w:sz="2" w:space="0" w:color="auto"/>
                      </w:divBdr>
                      <w:divsChild>
                        <w:div w:id="195632861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768620454">
      <w:bodyDiv w:val="1"/>
      <w:marLeft w:val="0"/>
      <w:marRight w:val="0"/>
      <w:marTop w:val="0"/>
      <w:marBottom w:val="0"/>
      <w:divBdr>
        <w:top w:val="none" w:sz="0" w:space="0" w:color="auto"/>
        <w:left w:val="none" w:sz="0" w:space="0" w:color="auto"/>
        <w:bottom w:val="none" w:sz="0" w:space="0" w:color="auto"/>
        <w:right w:val="none" w:sz="0" w:space="0" w:color="auto"/>
      </w:divBdr>
    </w:div>
    <w:div w:id="862787734">
      <w:bodyDiv w:val="1"/>
      <w:marLeft w:val="0"/>
      <w:marRight w:val="0"/>
      <w:marTop w:val="0"/>
      <w:marBottom w:val="0"/>
      <w:divBdr>
        <w:top w:val="none" w:sz="0" w:space="0" w:color="auto"/>
        <w:left w:val="none" w:sz="0" w:space="0" w:color="auto"/>
        <w:bottom w:val="none" w:sz="0" w:space="0" w:color="auto"/>
        <w:right w:val="none" w:sz="0" w:space="0" w:color="auto"/>
      </w:divBdr>
    </w:div>
    <w:div w:id="1017854096">
      <w:bodyDiv w:val="1"/>
      <w:marLeft w:val="0"/>
      <w:marRight w:val="0"/>
      <w:marTop w:val="0"/>
      <w:marBottom w:val="0"/>
      <w:divBdr>
        <w:top w:val="none" w:sz="0" w:space="0" w:color="auto"/>
        <w:left w:val="none" w:sz="0" w:space="0" w:color="auto"/>
        <w:bottom w:val="none" w:sz="0" w:space="0" w:color="auto"/>
        <w:right w:val="none" w:sz="0" w:space="0" w:color="auto"/>
      </w:divBdr>
      <w:divsChild>
        <w:div w:id="84115131">
          <w:marLeft w:val="0"/>
          <w:marRight w:val="0"/>
          <w:marTop w:val="0"/>
          <w:marBottom w:val="0"/>
          <w:divBdr>
            <w:top w:val="single" w:sz="2" w:space="0" w:color="auto"/>
            <w:left w:val="single" w:sz="2" w:space="0" w:color="auto"/>
            <w:bottom w:val="single" w:sz="2" w:space="0" w:color="auto"/>
            <w:right w:val="single" w:sz="2" w:space="0" w:color="auto"/>
          </w:divBdr>
          <w:divsChild>
            <w:div w:id="487598443">
              <w:marLeft w:val="0"/>
              <w:marRight w:val="0"/>
              <w:marTop w:val="0"/>
              <w:marBottom w:val="0"/>
              <w:divBdr>
                <w:top w:val="single" w:sz="2" w:space="0" w:color="auto"/>
                <w:left w:val="single" w:sz="2" w:space="0" w:color="auto"/>
                <w:bottom w:val="single" w:sz="2" w:space="0" w:color="auto"/>
                <w:right w:val="single" w:sz="2" w:space="0" w:color="auto"/>
              </w:divBdr>
              <w:divsChild>
                <w:div w:id="1985042195">
                  <w:marLeft w:val="0"/>
                  <w:marRight w:val="0"/>
                  <w:marTop w:val="0"/>
                  <w:marBottom w:val="0"/>
                  <w:divBdr>
                    <w:top w:val="single" w:sz="2" w:space="0" w:color="auto"/>
                    <w:left w:val="single" w:sz="2" w:space="0" w:color="auto"/>
                    <w:bottom w:val="single" w:sz="2" w:space="0" w:color="auto"/>
                    <w:right w:val="single" w:sz="2" w:space="0" w:color="auto"/>
                  </w:divBdr>
                  <w:divsChild>
                    <w:div w:id="1342779935">
                      <w:marLeft w:val="0"/>
                      <w:marRight w:val="0"/>
                      <w:marTop w:val="0"/>
                      <w:marBottom w:val="0"/>
                      <w:divBdr>
                        <w:top w:val="single" w:sz="2" w:space="0" w:color="auto"/>
                        <w:left w:val="single" w:sz="2" w:space="0" w:color="auto"/>
                        <w:bottom w:val="single" w:sz="2" w:space="0" w:color="auto"/>
                        <w:right w:val="single" w:sz="2" w:space="0" w:color="auto"/>
                      </w:divBdr>
                      <w:divsChild>
                        <w:div w:id="87584660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2025008099">
          <w:marLeft w:val="0"/>
          <w:marRight w:val="0"/>
          <w:marTop w:val="0"/>
          <w:marBottom w:val="0"/>
          <w:divBdr>
            <w:top w:val="single" w:sz="2" w:space="0" w:color="auto"/>
            <w:left w:val="single" w:sz="2" w:space="0" w:color="auto"/>
            <w:bottom w:val="single" w:sz="2" w:space="0" w:color="auto"/>
            <w:right w:val="single" w:sz="2" w:space="0" w:color="auto"/>
          </w:divBdr>
          <w:divsChild>
            <w:div w:id="988091083">
              <w:marLeft w:val="0"/>
              <w:marRight w:val="0"/>
              <w:marTop w:val="0"/>
              <w:marBottom w:val="0"/>
              <w:divBdr>
                <w:top w:val="single" w:sz="2" w:space="0" w:color="auto"/>
                <w:left w:val="single" w:sz="2" w:space="0" w:color="auto"/>
                <w:bottom w:val="single" w:sz="2" w:space="0" w:color="auto"/>
                <w:right w:val="single" w:sz="2" w:space="0" w:color="auto"/>
              </w:divBdr>
              <w:divsChild>
                <w:div w:id="765492985">
                  <w:marLeft w:val="0"/>
                  <w:marRight w:val="0"/>
                  <w:marTop w:val="0"/>
                  <w:marBottom w:val="0"/>
                  <w:divBdr>
                    <w:top w:val="single" w:sz="2" w:space="0" w:color="auto"/>
                    <w:left w:val="single" w:sz="2" w:space="0" w:color="auto"/>
                    <w:bottom w:val="single" w:sz="2" w:space="0" w:color="auto"/>
                    <w:right w:val="single" w:sz="2" w:space="0" w:color="auto"/>
                  </w:divBdr>
                  <w:divsChild>
                    <w:div w:id="83574505">
                      <w:marLeft w:val="0"/>
                      <w:marRight w:val="0"/>
                      <w:marTop w:val="0"/>
                      <w:marBottom w:val="0"/>
                      <w:divBdr>
                        <w:top w:val="single" w:sz="2" w:space="0" w:color="auto"/>
                        <w:left w:val="single" w:sz="2" w:space="0" w:color="auto"/>
                        <w:bottom w:val="single" w:sz="2" w:space="0" w:color="auto"/>
                        <w:right w:val="single" w:sz="2" w:space="0" w:color="auto"/>
                      </w:divBdr>
                      <w:divsChild>
                        <w:div w:id="1247419474">
                          <w:marLeft w:val="0"/>
                          <w:marRight w:val="0"/>
                          <w:marTop w:val="0"/>
                          <w:marBottom w:val="0"/>
                          <w:divBdr>
                            <w:top w:val="single" w:sz="2" w:space="0" w:color="auto"/>
                            <w:left w:val="single" w:sz="2" w:space="0" w:color="auto"/>
                            <w:bottom w:val="single" w:sz="2" w:space="0" w:color="auto"/>
                            <w:right w:val="single" w:sz="2" w:space="0" w:color="auto"/>
                          </w:divBdr>
                          <w:divsChild>
                            <w:div w:id="1669208077">
                              <w:marLeft w:val="15"/>
                              <w:marRight w:val="0"/>
                              <w:marTop w:val="0"/>
                              <w:marBottom w:val="0"/>
                              <w:divBdr>
                                <w:top w:val="single" w:sz="2" w:space="0" w:color="auto"/>
                                <w:left w:val="single" w:sz="2" w:space="0" w:color="auto"/>
                                <w:bottom w:val="single" w:sz="2" w:space="0" w:color="auto"/>
                                <w:right w:val="single" w:sz="2" w:space="0" w:color="auto"/>
                              </w:divBdr>
                              <w:divsChild>
                                <w:div w:id="1557474263">
                                  <w:marLeft w:val="0"/>
                                  <w:marRight w:val="0"/>
                                  <w:marTop w:val="0"/>
                                  <w:marBottom w:val="0"/>
                                  <w:divBdr>
                                    <w:top w:val="single" w:sz="2" w:space="0" w:color="auto"/>
                                    <w:left w:val="single" w:sz="2" w:space="0" w:color="auto"/>
                                    <w:bottom w:val="single" w:sz="2" w:space="0" w:color="auto"/>
                                    <w:right w:val="single" w:sz="2" w:space="0" w:color="auto"/>
                                  </w:divBdr>
                                  <w:divsChild>
                                    <w:div w:id="1661035790">
                                      <w:marLeft w:val="0"/>
                                      <w:marRight w:val="0"/>
                                      <w:marTop w:val="0"/>
                                      <w:marBottom w:val="0"/>
                                      <w:divBdr>
                                        <w:top w:val="single" w:sz="2" w:space="0" w:color="auto"/>
                                        <w:left w:val="single" w:sz="2" w:space="0" w:color="auto"/>
                                        <w:bottom w:val="single" w:sz="2" w:space="0" w:color="auto"/>
                                        <w:right w:val="single" w:sz="2" w:space="0" w:color="auto"/>
                                      </w:divBdr>
                                      <w:divsChild>
                                        <w:div w:id="1948463510">
                                          <w:marLeft w:val="0"/>
                                          <w:marRight w:val="0"/>
                                          <w:marTop w:val="0"/>
                                          <w:marBottom w:val="0"/>
                                          <w:divBdr>
                                            <w:top w:val="single" w:sz="2" w:space="0" w:color="auto"/>
                                            <w:left w:val="single" w:sz="2" w:space="0" w:color="auto"/>
                                            <w:bottom w:val="single" w:sz="2" w:space="0" w:color="auto"/>
                                            <w:right w:val="single" w:sz="2" w:space="0" w:color="auto"/>
                                          </w:divBdr>
                                        </w:div>
                                      </w:divsChild>
                                    </w:div>
                                    <w:div w:id="197795007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205534415">
                      <w:marLeft w:val="0"/>
                      <w:marRight w:val="0"/>
                      <w:marTop w:val="0"/>
                      <w:marBottom w:val="0"/>
                      <w:divBdr>
                        <w:top w:val="single" w:sz="2" w:space="0" w:color="auto"/>
                        <w:left w:val="single" w:sz="2" w:space="0" w:color="auto"/>
                        <w:bottom w:val="single" w:sz="2" w:space="0" w:color="auto"/>
                        <w:right w:val="single" w:sz="2" w:space="0" w:color="auto"/>
                      </w:divBdr>
                      <w:divsChild>
                        <w:div w:id="1086073839">
                          <w:marLeft w:val="0"/>
                          <w:marRight w:val="0"/>
                          <w:marTop w:val="0"/>
                          <w:marBottom w:val="0"/>
                          <w:divBdr>
                            <w:top w:val="single" w:sz="2" w:space="0" w:color="auto"/>
                            <w:left w:val="single" w:sz="2" w:space="0" w:color="auto"/>
                            <w:bottom w:val="single" w:sz="2" w:space="0" w:color="auto"/>
                            <w:right w:val="single" w:sz="2" w:space="0" w:color="auto"/>
                          </w:divBdr>
                          <w:divsChild>
                            <w:div w:id="317806206">
                              <w:marLeft w:val="0"/>
                              <w:marRight w:val="0"/>
                              <w:marTop w:val="0"/>
                              <w:marBottom w:val="0"/>
                              <w:divBdr>
                                <w:top w:val="single" w:sz="2" w:space="0" w:color="auto"/>
                                <w:left w:val="single" w:sz="2" w:space="0" w:color="auto"/>
                                <w:bottom w:val="single" w:sz="2" w:space="0" w:color="auto"/>
                                <w:right w:val="single" w:sz="2" w:space="0" w:color="auto"/>
                              </w:divBdr>
                              <w:divsChild>
                                <w:div w:id="789785246">
                                  <w:marLeft w:val="0"/>
                                  <w:marRight w:val="0"/>
                                  <w:marTop w:val="0"/>
                                  <w:marBottom w:val="0"/>
                                  <w:divBdr>
                                    <w:top w:val="single" w:sz="2" w:space="0" w:color="auto"/>
                                    <w:left w:val="single" w:sz="2" w:space="0" w:color="auto"/>
                                    <w:bottom w:val="single" w:sz="2" w:space="0" w:color="auto"/>
                                    <w:right w:val="single" w:sz="2" w:space="0" w:color="auto"/>
                                  </w:divBdr>
                                  <w:divsChild>
                                    <w:div w:id="769282418">
                                      <w:marLeft w:val="0"/>
                                      <w:marRight w:val="0"/>
                                      <w:marTop w:val="0"/>
                                      <w:marBottom w:val="0"/>
                                      <w:divBdr>
                                        <w:top w:val="single" w:sz="2" w:space="0" w:color="auto"/>
                                        <w:left w:val="single" w:sz="2" w:space="0" w:color="auto"/>
                                        <w:bottom w:val="single" w:sz="2" w:space="0" w:color="auto"/>
                                        <w:right w:val="single" w:sz="2" w:space="0" w:color="auto"/>
                                      </w:divBdr>
                                      <w:divsChild>
                                        <w:div w:id="280772523">
                                          <w:marLeft w:val="0"/>
                                          <w:marRight w:val="0"/>
                                          <w:marTop w:val="0"/>
                                          <w:marBottom w:val="0"/>
                                          <w:divBdr>
                                            <w:top w:val="single" w:sz="2" w:space="0" w:color="auto"/>
                                            <w:left w:val="single" w:sz="2" w:space="0" w:color="auto"/>
                                            <w:bottom w:val="single" w:sz="2" w:space="0" w:color="auto"/>
                                            <w:right w:val="single" w:sz="2" w:space="0" w:color="auto"/>
                                          </w:divBdr>
                                          <w:divsChild>
                                            <w:div w:id="18497578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39313210">
                                  <w:marLeft w:val="0"/>
                                  <w:marRight w:val="0"/>
                                  <w:marTop w:val="0"/>
                                  <w:marBottom w:val="0"/>
                                  <w:divBdr>
                                    <w:top w:val="single" w:sz="2" w:space="0" w:color="auto"/>
                                    <w:left w:val="single" w:sz="2" w:space="0" w:color="auto"/>
                                    <w:bottom w:val="single" w:sz="2" w:space="0" w:color="auto"/>
                                    <w:right w:val="single" w:sz="2" w:space="0" w:color="auto"/>
                                  </w:divBdr>
                                  <w:divsChild>
                                    <w:div w:id="2026246647">
                                      <w:marLeft w:val="0"/>
                                      <w:marRight w:val="0"/>
                                      <w:marTop w:val="0"/>
                                      <w:marBottom w:val="0"/>
                                      <w:divBdr>
                                        <w:top w:val="single" w:sz="2" w:space="0" w:color="auto"/>
                                        <w:left w:val="single" w:sz="2" w:space="0" w:color="auto"/>
                                        <w:bottom w:val="single" w:sz="2" w:space="0" w:color="auto"/>
                                        <w:right w:val="single" w:sz="2" w:space="0" w:color="auto"/>
                                      </w:divBdr>
                                      <w:divsChild>
                                        <w:div w:id="10223663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229735195">
                      <w:marLeft w:val="0"/>
                      <w:marRight w:val="0"/>
                      <w:marTop w:val="0"/>
                      <w:marBottom w:val="0"/>
                      <w:divBdr>
                        <w:top w:val="single" w:sz="2" w:space="0" w:color="auto"/>
                        <w:left w:val="single" w:sz="2" w:space="0" w:color="auto"/>
                        <w:bottom w:val="single" w:sz="2" w:space="0" w:color="auto"/>
                        <w:right w:val="single" w:sz="2" w:space="0" w:color="auto"/>
                      </w:divBdr>
                      <w:divsChild>
                        <w:div w:id="1270352430">
                          <w:marLeft w:val="0"/>
                          <w:marRight w:val="0"/>
                          <w:marTop w:val="0"/>
                          <w:marBottom w:val="0"/>
                          <w:divBdr>
                            <w:top w:val="single" w:sz="2" w:space="0" w:color="auto"/>
                            <w:left w:val="single" w:sz="2" w:space="0" w:color="auto"/>
                            <w:bottom w:val="single" w:sz="2" w:space="0" w:color="auto"/>
                            <w:right w:val="single" w:sz="2" w:space="0" w:color="auto"/>
                          </w:divBdr>
                          <w:divsChild>
                            <w:div w:id="341974787">
                              <w:marLeft w:val="15"/>
                              <w:marRight w:val="0"/>
                              <w:marTop w:val="0"/>
                              <w:marBottom w:val="0"/>
                              <w:divBdr>
                                <w:top w:val="single" w:sz="2" w:space="0" w:color="auto"/>
                                <w:left w:val="single" w:sz="2" w:space="0" w:color="auto"/>
                                <w:bottom w:val="single" w:sz="2" w:space="0" w:color="auto"/>
                                <w:right w:val="single" w:sz="2" w:space="0" w:color="auto"/>
                              </w:divBdr>
                              <w:divsChild>
                                <w:div w:id="1073702126">
                                  <w:marLeft w:val="0"/>
                                  <w:marRight w:val="0"/>
                                  <w:marTop w:val="0"/>
                                  <w:marBottom w:val="0"/>
                                  <w:divBdr>
                                    <w:top w:val="single" w:sz="2" w:space="0" w:color="auto"/>
                                    <w:left w:val="single" w:sz="2" w:space="0" w:color="auto"/>
                                    <w:bottom w:val="single" w:sz="2" w:space="0" w:color="auto"/>
                                    <w:right w:val="single" w:sz="2" w:space="0" w:color="auto"/>
                                  </w:divBdr>
                                  <w:divsChild>
                                    <w:div w:id="753018180">
                                      <w:marLeft w:val="0"/>
                                      <w:marRight w:val="0"/>
                                      <w:marTop w:val="0"/>
                                      <w:marBottom w:val="0"/>
                                      <w:divBdr>
                                        <w:top w:val="single" w:sz="2" w:space="0" w:color="auto"/>
                                        <w:left w:val="single" w:sz="2" w:space="0" w:color="auto"/>
                                        <w:bottom w:val="single" w:sz="2" w:space="0" w:color="auto"/>
                                        <w:right w:val="single" w:sz="2" w:space="0" w:color="auto"/>
                                      </w:divBdr>
                                    </w:div>
                                    <w:div w:id="1912233455">
                                      <w:marLeft w:val="0"/>
                                      <w:marRight w:val="0"/>
                                      <w:marTop w:val="0"/>
                                      <w:marBottom w:val="0"/>
                                      <w:divBdr>
                                        <w:top w:val="single" w:sz="2" w:space="0" w:color="auto"/>
                                        <w:left w:val="single" w:sz="2" w:space="0" w:color="auto"/>
                                        <w:bottom w:val="single" w:sz="2" w:space="0" w:color="auto"/>
                                        <w:right w:val="single" w:sz="2" w:space="0" w:color="auto"/>
                                      </w:divBdr>
                                      <w:divsChild>
                                        <w:div w:id="691067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245386593">
                      <w:marLeft w:val="0"/>
                      <w:marRight w:val="0"/>
                      <w:marTop w:val="0"/>
                      <w:marBottom w:val="0"/>
                      <w:divBdr>
                        <w:top w:val="single" w:sz="2" w:space="0" w:color="auto"/>
                        <w:left w:val="single" w:sz="2" w:space="0" w:color="auto"/>
                        <w:bottom w:val="single" w:sz="2" w:space="0" w:color="auto"/>
                        <w:right w:val="single" w:sz="2" w:space="0" w:color="auto"/>
                      </w:divBdr>
                      <w:divsChild>
                        <w:div w:id="1148013090">
                          <w:marLeft w:val="0"/>
                          <w:marRight w:val="0"/>
                          <w:marTop w:val="0"/>
                          <w:marBottom w:val="0"/>
                          <w:divBdr>
                            <w:top w:val="single" w:sz="2" w:space="0" w:color="auto"/>
                            <w:left w:val="single" w:sz="2" w:space="0" w:color="auto"/>
                            <w:bottom w:val="single" w:sz="2" w:space="0" w:color="auto"/>
                            <w:right w:val="single" w:sz="2" w:space="0" w:color="auto"/>
                          </w:divBdr>
                          <w:divsChild>
                            <w:div w:id="1980458893">
                              <w:marLeft w:val="0"/>
                              <w:marRight w:val="0"/>
                              <w:marTop w:val="0"/>
                              <w:marBottom w:val="0"/>
                              <w:divBdr>
                                <w:top w:val="single" w:sz="2" w:space="0" w:color="auto"/>
                                <w:left w:val="single" w:sz="2" w:space="0" w:color="auto"/>
                                <w:bottom w:val="single" w:sz="2" w:space="0" w:color="auto"/>
                                <w:right w:val="single" w:sz="2" w:space="0" w:color="auto"/>
                              </w:divBdr>
                              <w:divsChild>
                                <w:div w:id="137692036">
                                  <w:marLeft w:val="0"/>
                                  <w:marRight w:val="0"/>
                                  <w:marTop w:val="0"/>
                                  <w:marBottom w:val="0"/>
                                  <w:divBdr>
                                    <w:top w:val="single" w:sz="2" w:space="0" w:color="auto"/>
                                    <w:left w:val="single" w:sz="2" w:space="0" w:color="auto"/>
                                    <w:bottom w:val="single" w:sz="2" w:space="0" w:color="auto"/>
                                    <w:right w:val="single" w:sz="2" w:space="0" w:color="auto"/>
                                  </w:divBdr>
                                  <w:divsChild>
                                    <w:div w:id="164899223">
                                      <w:marLeft w:val="0"/>
                                      <w:marRight w:val="0"/>
                                      <w:marTop w:val="0"/>
                                      <w:marBottom w:val="0"/>
                                      <w:divBdr>
                                        <w:top w:val="single" w:sz="2" w:space="0" w:color="auto"/>
                                        <w:left w:val="single" w:sz="2" w:space="0" w:color="auto"/>
                                        <w:bottom w:val="single" w:sz="2" w:space="0" w:color="auto"/>
                                        <w:right w:val="single" w:sz="2" w:space="0" w:color="auto"/>
                                      </w:divBdr>
                                      <w:divsChild>
                                        <w:div w:id="28916521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35041045">
      <w:bodyDiv w:val="1"/>
      <w:marLeft w:val="0"/>
      <w:marRight w:val="0"/>
      <w:marTop w:val="0"/>
      <w:marBottom w:val="0"/>
      <w:divBdr>
        <w:top w:val="none" w:sz="0" w:space="0" w:color="auto"/>
        <w:left w:val="none" w:sz="0" w:space="0" w:color="auto"/>
        <w:bottom w:val="none" w:sz="0" w:space="0" w:color="auto"/>
        <w:right w:val="none" w:sz="0" w:space="0" w:color="auto"/>
      </w:divBdr>
    </w:div>
    <w:div w:id="1107771915">
      <w:bodyDiv w:val="1"/>
      <w:marLeft w:val="0"/>
      <w:marRight w:val="0"/>
      <w:marTop w:val="0"/>
      <w:marBottom w:val="0"/>
      <w:divBdr>
        <w:top w:val="none" w:sz="0" w:space="0" w:color="auto"/>
        <w:left w:val="none" w:sz="0" w:space="0" w:color="auto"/>
        <w:bottom w:val="none" w:sz="0" w:space="0" w:color="auto"/>
        <w:right w:val="none" w:sz="0" w:space="0" w:color="auto"/>
      </w:divBdr>
    </w:div>
    <w:div w:id="1158762092">
      <w:bodyDiv w:val="1"/>
      <w:marLeft w:val="0"/>
      <w:marRight w:val="0"/>
      <w:marTop w:val="0"/>
      <w:marBottom w:val="0"/>
      <w:divBdr>
        <w:top w:val="none" w:sz="0" w:space="0" w:color="auto"/>
        <w:left w:val="none" w:sz="0" w:space="0" w:color="auto"/>
        <w:bottom w:val="none" w:sz="0" w:space="0" w:color="auto"/>
        <w:right w:val="none" w:sz="0" w:space="0" w:color="auto"/>
      </w:divBdr>
      <w:divsChild>
        <w:div w:id="1604803544">
          <w:marLeft w:val="0"/>
          <w:marRight w:val="0"/>
          <w:marTop w:val="0"/>
          <w:marBottom w:val="0"/>
          <w:divBdr>
            <w:top w:val="single" w:sz="2" w:space="0" w:color="auto"/>
            <w:left w:val="single" w:sz="2" w:space="0" w:color="auto"/>
            <w:bottom w:val="single" w:sz="2" w:space="0" w:color="auto"/>
            <w:right w:val="single" w:sz="2" w:space="0" w:color="auto"/>
          </w:divBdr>
          <w:divsChild>
            <w:div w:id="179659051">
              <w:marLeft w:val="0"/>
              <w:marRight w:val="0"/>
              <w:marTop w:val="0"/>
              <w:marBottom w:val="0"/>
              <w:divBdr>
                <w:top w:val="single" w:sz="2" w:space="0" w:color="auto"/>
                <w:left w:val="single" w:sz="2" w:space="0" w:color="auto"/>
                <w:bottom w:val="single" w:sz="2" w:space="0" w:color="auto"/>
                <w:right w:val="single" w:sz="2" w:space="0" w:color="auto"/>
              </w:divBdr>
              <w:divsChild>
                <w:div w:id="641085016">
                  <w:marLeft w:val="0"/>
                  <w:marRight w:val="0"/>
                  <w:marTop w:val="0"/>
                  <w:marBottom w:val="0"/>
                  <w:divBdr>
                    <w:top w:val="single" w:sz="2" w:space="0" w:color="auto"/>
                    <w:left w:val="single" w:sz="2" w:space="0" w:color="auto"/>
                    <w:bottom w:val="single" w:sz="2" w:space="0" w:color="auto"/>
                    <w:right w:val="single" w:sz="2" w:space="0" w:color="auto"/>
                  </w:divBdr>
                  <w:divsChild>
                    <w:div w:id="1453403640">
                      <w:marLeft w:val="0"/>
                      <w:marRight w:val="0"/>
                      <w:marTop w:val="0"/>
                      <w:marBottom w:val="0"/>
                      <w:divBdr>
                        <w:top w:val="single" w:sz="2" w:space="0" w:color="auto"/>
                        <w:left w:val="single" w:sz="2" w:space="0" w:color="auto"/>
                        <w:bottom w:val="single" w:sz="2" w:space="0" w:color="auto"/>
                        <w:right w:val="single" w:sz="2" w:space="0" w:color="auto"/>
                      </w:divBdr>
                      <w:divsChild>
                        <w:div w:id="203387168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976719435">
          <w:marLeft w:val="0"/>
          <w:marRight w:val="0"/>
          <w:marTop w:val="0"/>
          <w:marBottom w:val="0"/>
          <w:divBdr>
            <w:top w:val="single" w:sz="2" w:space="0" w:color="auto"/>
            <w:left w:val="single" w:sz="2" w:space="0" w:color="auto"/>
            <w:bottom w:val="single" w:sz="2" w:space="0" w:color="auto"/>
            <w:right w:val="single" w:sz="2" w:space="0" w:color="auto"/>
          </w:divBdr>
          <w:divsChild>
            <w:div w:id="1876966747">
              <w:marLeft w:val="0"/>
              <w:marRight w:val="0"/>
              <w:marTop w:val="0"/>
              <w:marBottom w:val="0"/>
              <w:divBdr>
                <w:top w:val="single" w:sz="2" w:space="0" w:color="auto"/>
                <w:left w:val="single" w:sz="2" w:space="0" w:color="auto"/>
                <w:bottom w:val="single" w:sz="2" w:space="0" w:color="auto"/>
                <w:right w:val="single" w:sz="2" w:space="0" w:color="auto"/>
              </w:divBdr>
              <w:divsChild>
                <w:div w:id="235481347">
                  <w:marLeft w:val="0"/>
                  <w:marRight w:val="0"/>
                  <w:marTop w:val="0"/>
                  <w:marBottom w:val="0"/>
                  <w:divBdr>
                    <w:top w:val="single" w:sz="2" w:space="0" w:color="auto"/>
                    <w:left w:val="single" w:sz="2" w:space="0" w:color="auto"/>
                    <w:bottom w:val="single" w:sz="2" w:space="0" w:color="auto"/>
                    <w:right w:val="single" w:sz="2" w:space="0" w:color="auto"/>
                  </w:divBdr>
                  <w:divsChild>
                    <w:div w:id="783035700">
                      <w:marLeft w:val="0"/>
                      <w:marRight w:val="0"/>
                      <w:marTop w:val="0"/>
                      <w:marBottom w:val="0"/>
                      <w:divBdr>
                        <w:top w:val="single" w:sz="2" w:space="0" w:color="auto"/>
                        <w:left w:val="single" w:sz="2" w:space="0" w:color="auto"/>
                        <w:bottom w:val="single" w:sz="2" w:space="0" w:color="auto"/>
                        <w:right w:val="single" w:sz="2" w:space="0" w:color="auto"/>
                      </w:divBdr>
                      <w:divsChild>
                        <w:div w:id="492914918">
                          <w:marLeft w:val="0"/>
                          <w:marRight w:val="0"/>
                          <w:marTop w:val="0"/>
                          <w:marBottom w:val="0"/>
                          <w:divBdr>
                            <w:top w:val="single" w:sz="2" w:space="0" w:color="auto"/>
                            <w:left w:val="single" w:sz="2" w:space="0" w:color="auto"/>
                            <w:bottom w:val="single" w:sz="2" w:space="0" w:color="auto"/>
                            <w:right w:val="single" w:sz="2" w:space="0" w:color="auto"/>
                          </w:divBdr>
                          <w:divsChild>
                            <w:div w:id="422841722">
                              <w:marLeft w:val="15"/>
                              <w:marRight w:val="0"/>
                              <w:marTop w:val="0"/>
                              <w:marBottom w:val="0"/>
                              <w:divBdr>
                                <w:top w:val="single" w:sz="2" w:space="0" w:color="auto"/>
                                <w:left w:val="single" w:sz="2" w:space="0" w:color="auto"/>
                                <w:bottom w:val="single" w:sz="2" w:space="0" w:color="auto"/>
                                <w:right w:val="single" w:sz="2" w:space="0" w:color="auto"/>
                              </w:divBdr>
                              <w:divsChild>
                                <w:div w:id="426997699">
                                  <w:marLeft w:val="0"/>
                                  <w:marRight w:val="0"/>
                                  <w:marTop w:val="0"/>
                                  <w:marBottom w:val="0"/>
                                  <w:divBdr>
                                    <w:top w:val="single" w:sz="2" w:space="0" w:color="auto"/>
                                    <w:left w:val="single" w:sz="2" w:space="0" w:color="auto"/>
                                    <w:bottom w:val="single" w:sz="2" w:space="0" w:color="auto"/>
                                    <w:right w:val="single" w:sz="2" w:space="0" w:color="auto"/>
                                  </w:divBdr>
                                  <w:divsChild>
                                    <w:div w:id="113452649">
                                      <w:marLeft w:val="0"/>
                                      <w:marRight w:val="0"/>
                                      <w:marTop w:val="0"/>
                                      <w:marBottom w:val="0"/>
                                      <w:divBdr>
                                        <w:top w:val="single" w:sz="2" w:space="0" w:color="auto"/>
                                        <w:left w:val="single" w:sz="2" w:space="0" w:color="auto"/>
                                        <w:bottom w:val="single" w:sz="2" w:space="0" w:color="auto"/>
                                        <w:right w:val="single" w:sz="2" w:space="0" w:color="auto"/>
                                      </w:divBdr>
                                    </w:div>
                                    <w:div w:id="1457603058">
                                      <w:marLeft w:val="0"/>
                                      <w:marRight w:val="0"/>
                                      <w:marTop w:val="0"/>
                                      <w:marBottom w:val="0"/>
                                      <w:divBdr>
                                        <w:top w:val="single" w:sz="2" w:space="0" w:color="auto"/>
                                        <w:left w:val="single" w:sz="2" w:space="0" w:color="auto"/>
                                        <w:bottom w:val="single" w:sz="2" w:space="0" w:color="auto"/>
                                        <w:right w:val="single" w:sz="2" w:space="0" w:color="auto"/>
                                      </w:divBdr>
                                      <w:divsChild>
                                        <w:div w:id="4478178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143500491">
                      <w:marLeft w:val="0"/>
                      <w:marRight w:val="0"/>
                      <w:marTop w:val="0"/>
                      <w:marBottom w:val="0"/>
                      <w:divBdr>
                        <w:top w:val="single" w:sz="2" w:space="0" w:color="auto"/>
                        <w:left w:val="single" w:sz="2" w:space="0" w:color="auto"/>
                        <w:bottom w:val="single" w:sz="2" w:space="0" w:color="auto"/>
                        <w:right w:val="single" w:sz="2" w:space="0" w:color="auto"/>
                      </w:divBdr>
                      <w:divsChild>
                        <w:div w:id="1807241687">
                          <w:marLeft w:val="0"/>
                          <w:marRight w:val="0"/>
                          <w:marTop w:val="0"/>
                          <w:marBottom w:val="0"/>
                          <w:divBdr>
                            <w:top w:val="single" w:sz="2" w:space="0" w:color="auto"/>
                            <w:left w:val="single" w:sz="2" w:space="0" w:color="auto"/>
                            <w:bottom w:val="single" w:sz="2" w:space="0" w:color="auto"/>
                            <w:right w:val="single" w:sz="2" w:space="0" w:color="auto"/>
                          </w:divBdr>
                          <w:divsChild>
                            <w:div w:id="509877850">
                              <w:marLeft w:val="0"/>
                              <w:marRight w:val="0"/>
                              <w:marTop w:val="0"/>
                              <w:marBottom w:val="0"/>
                              <w:divBdr>
                                <w:top w:val="single" w:sz="2" w:space="0" w:color="auto"/>
                                <w:left w:val="single" w:sz="2" w:space="0" w:color="auto"/>
                                <w:bottom w:val="single" w:sz="2" w:space="0" w:color="auto"/>
                                <w:right w:val="single" w:sz="2" w:space="0" w:color="auto"/>
                              </w:divBdr>
                              <w:divsChild>
                                <w:div w:id="286741244">
                                  <w:marLeft w:val="0"/>
                                  <w:marRight w:val="0"/>
                                  <w:marTop w:val="0"/>
                                  <w:marBottom w:val="0"/>
                                  <w:divBdr>
                                    <w:top w:val="single" w:sz="2" w:space="0" w:color="auto"/>
                                    <w:left w:val="single" w:sz="2" w:space="0" w:color="auto"/>
                                    <w:bottom w:val="single" w:sz="2" w:space="0" w:color="auto"/>
                                    <w:right w:val="single" w:sz="2" w:space="0" w:color="auto"/>
                                  </w:divBdr>
                                  <w:divsChild>
                                    <w:div w:id="516119412">
                                      <w:marLeft w:val="0"/>
                                      <w:marRight w:val="0"/>
                                      <w:marTop w:val="0"/>
                                      <w:marBottom w:val="0"/>
                                      <w:divBdr>
                                        <w:top w:val="single" w:sz="2" w:space="0" w:color="auto"/>
                                        <w:left w:val="single" w:sz="2" w:space="0" w:color="auto"/>
                                        <w:bottom w:val="single" w:sz="2" w:space="0" w:color="auto"/>
                                        <w:right w:val="single" w:sz="2" w:space="0" w:color="auto"/>
                                      </w:divBdr>
                                      <w:divsChild>
                                        <w:div w:id="101006481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617904458">
                      <w:marLeft w:val="0"/>
                      <w:marRight w:val="0"/>
                      <w:marTop w:val="0"/>
                      <w:marBottom w:val="0"/>
                      <w:divBdr>
                        <w:top w:val="single" w:sz="2" w:space="0" w:color="auto"/>
                        <w:left w:val="single" w:sz="2" w:space="0" w:color="auto"/>
                        <w:bottom w:val="single" w:sz="2" w:space="0" w:color="auto"/>
                        <w:right w:val="single" w:sz="2" w:space="0" w:color="auto"/>
                      </w:divBdr>
                      <w:divsChild>
                        <w:div w:id="3746698">
                          <w:marLeft w:val="0"/>
                          <w:marRight w:val="0"/>
                          <w:marTop w:val="0"/>
                          <w:marBottom w:val="0"/>
                          <w:divBdr>
                            <w:top w:val="single" w:sz="2" w:space="0" w:color="auto"/>
                            <w:left w:val="single" w:sz="2" w:space="0" w:color="auto"/>
                            <w:bottom w:val="single" w:sz="2" w:space="0" w:color="auto"/>
                            <w:right w:val="single" w:sz="2" w:space="0" w:color="auto"/>
                          </w:divBdr>
                          <w:divsChild>
                            <w:div w:id="315454712">
                              <w:marLeft w:val="0"/>
                              <w:marRight w:val="0"/>
                              <w:marTop w:val="0"/>
                              <w:marBottom w:val="0"/>
                              <w:divBdr>
                                <w:top w:val="single" w:sz="2" w:space="0" w:color="auto"/>
                                <w:left w:val="single" w:sz="2" w:space="0" w:color="auto"/>
                                <w:bottom w:val="single" w:sz="2" w:space="0" w:color="auto"/>
                                <w:right w:val="single" w:sz="2" w:space="0" w:color="auto"/>
                              </w:divBdr>
                              <w:divsChild>
                                <w:div w:id="220363727">
                                  <w:marLeft w:val="0"/>
                                  <w:marRight w:val="0"/>
                                  <w:marTop w:val="0"/>
                                  <w:marBottom w:val="0"/>
                                  <w:divBdr>
                                    <w:top w:val="single" w:sz="2" w:space="0" w:color="auto"/>
                                    <w:left w:val="single" w:sz="2" w:space="0" w:color="auto"/>
                                    <w:bottom w:val="single" w:sz="2" w:space="0" w:color="auto"/>
                                    <w:right w:val="single" w:sz="2" w:space="0" w:color="auto"/>
                                  </w:divBdr>
                                  <w:divsChild>
                                    <w:div w:id="2021882642">
                                      <w:marLeft w:val="0"/>
                                      <w:marRight w:val="0"/>
                                      <w:marTop w:val="0"/>
                                      <w:marBottom w:val="0"/>
                                      <w:divBdr>
                                        <w:top w:val="single" w:sz="2" w:space="0" w:color="auto"/>
                                        <w:left w:val="single" w:sz="2" w:space="0" w:color="auto"/>
                                        <w:bottom w:val="single" w:sz="2" w:space="0" w:color="auto"/>
                                        <w:right w:val="single" w:sz="2" w:space="0" w:color="auto"/>
                                      </w:divBdr>
                                      <w:divsChild>
                                        <w:div w:id="131688460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61023640">
                                  <w:marLeft w:val="0"/>
                                  <w:marRight w:val="0"/>
                                  <w:marTop w:val="0"/>
                                  <w:marBottom w:val="0"/>
                                  <w:divBdr>
                                    <w:top w:val="single" w:sz="2" w:space="0" w:color="auto"/>
                                    <w:left w:val="single" w:sz="2" w:space="0" w:color="auto"/>
                                    <w:bottom w:val="single" w:sz="2" w:space="0" w:color="auto"/>
                                    <w:right w:val="single" w:sz="2" w:space="0" w:color="auto"/>
                                  </w:divBdr>
                                  <w:divsChild>
                                    <w:div w:id="1722092272">
                                      <w:marLeft w:val="0"/>
                                      <w:marRight w:val="0"/>
                                      <w:marTop w:val="0"/>
                                      <w:marBottom w:val="0"/>
                                      <w:divBdr>
                                        <w:top w:val="single" w:sz="2" w:space="0" w:color="auto"/>
                                        <w:left w:val="single" w:sz="2" w:space="0" w:color="auto"/>
                                        <w:bottom w:val="single" w:sz="2" w:space="0" w:color="auto"/>
                                        <w:right w:val="single" w:sz="2" w:space="0" w:color="auto"/>
                                      </w:divBdr>
                                      <w:divsChild>
                                        <w:div w:id="151724921">
                                          <w:marLeft w:val="0"/>
                                          <w:marRight w:val="0"/>
                                          <w:marTop w:val="0"/>
                                          <w:marBottom w:val="0"/>
                                          <w:divBdr>
                                            <w:top w:val="single" w:sz="2" w:space="0" w:color="auto"/>
                                            <w:left w:val="single" w:sz="2" w:space="0" w:color="auto"/>
                                            <w:bottom w:val="single" w:sz="2" w:space="0" w:color="auto"/>
                                            <w:right w:val="single" w:sz="2" w:space="0" w:color="auto"/>
                                          </w:divBdr>
                                          <w:divsChild>
                                            <w:div w:id="154182050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686665319">
                      <w:marLeft w:val="0"/>
                      <w:marRight w:val="0"/>
                      <w:marTop w:val="0"/>
                      <w:marBottom w:val="0"/>
                      <w:divBdr>
                        <w:top w:val="single" w:sz="2" w:space="0" w:color="auto"/>
                        <w:left w:val="single" w:sz="2" w:space="0" w:color="auto"/>
                        <w:bottom w:val="single" w:sz="2" w:space="0" w:color="auto"/>
                        <w:right w:val="single" w:sz="2" w:space="0" w:color="auto"/>
                      </w:divBdr>
                      <w:divsChild>
                        <w:div w:id="591280024">
                          <w:marLeft w:val="0"/>
                          <w:marRight w:val="0"/>
                          <w:marTop w:val="0"/>
                          <w:marBottom w:val="0"/>
                          <w:divBdr>
                            <w:top w:val="single" w:sz="2" w:space="0" w:color="auto"/>
                            <w:left w:val="single" w:sz="2" w:space="0" w:color="auto"/>
                            <w:bottom w:val="single" w:sz="2" w:space="0" w:color="auto"/>
                            <w:right w:val="single" w:sz="2" w:space="0" w:color="auto"/>
                          </w:divBdr>
                          <w:divsChild>
                            <w:div w:id="186646976">
                              <w:marLeft w:val="15"/>
                              <w:marRight w:val="0"/>
                              <w:marTop w:val="0"/>
                              <w:marBottom w:val="0"/>
                              <w:divBdr>
                                <w:top w:val="single" w:sz="2" w:space="0" w:color="auto"/>
                                <w:left w:val="single" w:sz="2" w:space="0" w:color="auto"/>
                                <w:bottom w:val="single" w:sz="2" w:space="0" w:color="auto"/>
                                <w:right w:val="single" w:sz="2" w:space="0" w:color="auto"/>
                              </w:divBdr>
                              <w:divsChild>
                                <w:div w:id="99762227">
                                  <w:marLeft w:val="0"/>
                                  <w:marRight w:val="0"/>
                                  <w:marTop w:val="0"/>
                                  <w:marBottom w:val="0"/>
                                  <w:divBdr>
                                    <w:top w:val="single" w:sz="2" w:space="0" w:color="auto"/>
                                    <w:left w:val="single" w:sz="2" w:space="0" w:color="auto"/>
                                    <w:bottom w:val="single" w:sz="2" w:space="0" w:color="auto"/>
                                    <w:right w:val="single" w:sz="2" w:space="0" w:color="auto"/>
                                  </w:divBdr>
                                  <w:divsChild>
                                    <w:div w:id="986710291">
                                      <w:marLeft w:val="0"/>
                                      <w:marRight w:val="0"/>
                                      <w:marTop w:val="0"/>
                                      <w:marBottom w:val="0"/>
                                      <w:divBdr>
                                        <w:top w:val="single" w:sz="2" w:space="0" w:color="auto"/>
                                        <w:left w:val="single" w:sz="2" w:space="0" w:color="auto"/>
                                        <w:bottom w:val="single" w:sz="2" w:space="0" w:color="auto"/>
                                        <w:right w:val="single" w:sz="2" w:space="0" w:color="auto"/>
                                      </w:divBdr>
                                      <w:divsChild>
                                        <w:div w:id="356657997">
                                          <w:marLeft w:val="0"/>
                                          <w:marRight w:val="0"/>
                                          <w:marTop w:val="0"/>
                                          <w:marBottom w:val="0"/>
                                          <w:divBdr>
                                            <w:top w:val="single" w:sz="2" w:space="0" w:color="auto"/>
                                            <w:left w:val="single" w:sz="2" w:space="0" w:color="auto"/>
                                            <w:bottom w:val="single" w:sz="2" w:space="0" w:color="auto"/>
                                            <w:right w:val="single" w:sz="2" w:space="0" w:color="auto"/>
                                          </w:divBdr>
                                        </w:div>
                                      </w:divsChild>
                                    </w:div>
                                    <w:div w:id="107789499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968393073">
                      <w:marLeft w:val="0"/>
                      <w:marRight w:val="0"/>
                      <w:marTop w:val="0"/>
                      <w:marBottom w:val="0"/>
                      <w:divBdr>
                        <w:top w:val="single" w:sz="2" w:space="0" w:color="auto"/>
                        <w:left w:val="single" w:sz="2" w:space="0" w:color="auto"/>
                        <w:bottom w:val="single" w:sz="2" w:space="0" w:color="auto"/>
                        <w:right w:val="single" w:sz="2" w:space="0" w:color="auto"/>
                      </w:divBdr>
                      <w:divsChild>
                        <w:div w:id="1348867200">
                          <w:marLeft w:val="0"/>
                          <w:marRight w:val="0"/>
                          <w:marTop w:val="0"/>
                          <w:marBottom w:val="0"/>
                          <w:divBdr>
                            <w:top w:val="single" w:sz="2" w:space="0" w:color="auto"/>
                            <w:left w:val="single" w:sz="2" w:space="0" w:color="auto"/>
                            <w:bottom w:val="single" w:sz="2" w:space="0" w:color="auto"/>
                            <w:right w:val="single" w:sz="2" w:space="0" w:color="auto"/>
                          </w:divBdr>
                          <w:divsChild>
                            <w:div w:id="2128162908">
                              <w:marLeft w:val="15"/>
                              <w:marRight w:val="0"/>
                              <w:marTop w:val="0"/>
                              <w:marBottom w:val="0"/>
                              <w:divBdr>
                                <w:top w:val="single" w:sz="2" w:space="0" w:color="auto"/>
                                <w:left w:val="single" w:sz="2" w:space="0" w:color="auto"/>
                                <w:bottom w:val="single" w:sz="2" w:space="0" w:color="auto"/>
                                <w:right w:val="single" w:sz="2" w:space="0" w:color="auto"/>
                              </w:divBdr>
                              <w:divsChild>
                                <w:div w:id="1294285791">
                                  <w:marLeft w:val="0"/>
                                  <w:marRight w:val="0"/>
                                  <w:marTop w:val="0"/>
                                  <w:marBottom w:val="0"/>
                                  <w:divBdr>
                                    <w:top w:val="single" w:sz="2" w:space="0" w:color="auto"/>
                                    <w:left w:val="single" w:sz="2" w:space="0" w:color="auto"/>
                                    <w:bottom w:val="single" w:sz="2" w:space="0" w:color="auto"/>
                                    <w:right w:val="single" w:sz="2" w:space="0" w:color="auto"/>
                                  </w:divBdr>
                                  <w:divsChild>
                                    <w:div w:id="1891646241">
                                      <w:marLeft w:val="0"/>
                                      <w:marRight w:val="0"/>
                                      <w:marTop w:val="0"/>
                                      <w:marBottom w:val="0"/>
                                      <w:divBdr>
                                        <w:top w:val="single" w:sz="2" w:space="0" w:color="auto"/>
                                        <w:left w:val="single" w:sz="2" w:space="0" w:color="auto"/>
                                        <w:bottom w:val="single" w:sz="2" w:space="0" w:color="auto"/>
                                        <w:right w:val="single" w:sz="2" w:space="0" w:color="auto"/>
                                      </w:divBdr>
                                      <w:divsChild>
                                        <w:div w:id="1020859389">
                                          <w:marLeft w:val="0"/>
                                          <w:marRight w:val="0"/>
                                          <w:marTop w:val="0"/>
                                          <w:marBottom w:val="0"/>
                                          <w:divBdr>
                                            <w:top w:val="single" w:sz="2" w:space="0" w:color="auto"/>
                                            <w:left w:val="single" w:sz="2" w:space="0" w:color="auto"/>
                                            <w:bottom w:val="single" w:sz="2" w:space="0" w:color="auto"/>
                                            <w:right w:val="single" w:sz="2" w:space="0" w:color="auto"/>
                                          </w:divBdr>
                                        </w:div>
                                      </w:divsChild>
                                    </w:div>
                                    <w:div w:id="192861257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2107143201">
                      <w:marLeft w:val="0"/>
                      <w:marRight w:val="0"/>
                      <w:marTop w:val="0"/>
                      <w:marBottom w:val="0"/>
                      <w:divBdr>
                        <w:top w:val="single" w:sz="2" w:space="0" w:color="auto"/>
                        <w:left w:val="single" w:sz="2" w:space="0" w:color="auto"/>
                        <w:bottom w:val="single" w:sz="2" w:space="0" w:color="auto"/>
                        <w:right w:val="single" w:sz="2" w:space="0" w:color="auto"/>
                      </w:divBdr>
                      <w:divsChild>
                        <w:div w:id="445394523">
                          <w:marLeft w:val="0"/>
                          <w:marRight w:val="0"/>
                          <w:marTop w:val="0"/>
                          <w:marBottom w:val="0"/>
                          <w:divBdr>
                            <w:top w:val="single" w:sz="2" w:space="0" w:color="auto"/>
                            <w:left w:val="single" w:sz="2" w:space="0" w:color="auto"/>
                            <w:bottom w:val="single" w:sz="2" w:space="0" w:color="auto"/>
                            <w:right w:val="single" w:sz="2" w:space="0" w:color="auto"/>
                          </w:divBdr>
                          <w:divsChild>
                            <w:div w:id="1324239394">
                              <w:marLeft w:val="0"/>
                              <w:marRight w:val="0"/>
                              <w:marTop w:val="0"/>
                              <w:marBottom w:val="0"/>
                              <w:divBdr>
                                <w:top w:val="single" w:sz="2" w:space="0" w:color="auto"/>
                                <w:left w:val="single" w:sz="2" w:space="0" w:color="auto"/>
                                <w:bottom w:val="single" w:sz="2" w:space="0" w:color="auto"/>
                                <w:right w:val="single" w:sz="2" w:space="0" w:color="auto"/>
                              </w:divBdr>
                              <w:divsChild>
                                <w:div w:id="920875846">
                                  <w:marLeft w:val="0"/>
                                  <w:marRight w:val="0"/>
                                  <w:marTop w:val="0"/>
                                  <w:marBottom w:val="0"/>
                                  <w:divBdr>
                                    <w:top w:val="single" w:sz="2" w:space="0" w:color="auto"/>
                                    <w:left w:val="single" w:sz="2" w:space="0" w:color="auto"/>
                                    <w:bottom w:val="single" w:sz="2" w:space="0" w:color="auto"/>
                                    <w:right w:val="single" w:sz="2" w:space="0" w:color="auto"/>
                                  </w:divBdr>
                                  <w:divsChild>
                                    <w:div w:id="617563262">
                                      <w:marLeft w:val="0"/>
                                      <w:marRight w:val="0"/>
                                      <w:marTop w:val="0"/>
                                      <w:marBottom w:val="0"/>
                                      <w:divBdr>
                                        <w:top w:val="single" w:sz="2" w:space="0" w:color="auto"/>
                                        <w:left w:val="single" w:sz="2" w:space="0" w:color="auto"/>
                                        <w:bottom w:val="single" w:sz="2" w:space="0" w:color="auto"/>
                                        <w:right w:val="single" w:sz="2" w:space="0" w:color="auto"/>
                                      </w:divBdr>
                                      <w:divsChild>
                                        <w:div w:id="30528213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55671413">
                                  <w:marLeft w:val="0"/>
                                  <w:marRight w:val="0"/>
                                  <w:marTop w:val="0"/>
                                  <w:marBottom w:val="0"/>
                                  <w:divBdr>
                                    <w:top w:val="single" w:sz="2" w:space="0" w:color="auto"/>
                                    <w:left w:val="single" w:sz="2" w:space="0" w:color="auto"/>
                                    <w:bottom w:val="single" w:sz="2" w:space="0" w:color="auto"/>
                                    <w:right w:val="single" w:sz="2" w:space="0" w:color="auto"/>
                                  </w:divBdr>
                                  <w:divsChild>
                                    <w:div w:id="763384653">
                                      <w:marLeft w:val="0"/>
                                      <w:marRight w:val="0"/>
                                      <w:marTop w:val="0"/>
                                      <w:marBottom w:val="0"/>
                                      <w:divBdr>
                                        <w:top w:val="single" w:sz="2" w:space="0" w:color="auto"/>
                                        <w:left w:val="single" w:sz="2" w:space="0" w:color="auto"/>
                                        <w:bottom w:val="single" w:sz="2" w:space="0" w:color="auto"/>
                                        <w:right w:val="single" w:sz="2" w:space="0" w:color="auto"/>
                                      </w:divBdr>
                                      <w:divsChild>
                                        <w:div w:id="1723015668">
                                          <w:marLeft w:val="0"/>
                                          <w:marRight w:val="0"/>
                                          <w:marTop w:val="0"/>
                                          <w:marBottom w:val="0"/>
                                          <w:divBdr>
                                            <w:top w:val="single" w:sz="2" w:space="0" w:color="auto"/>
                                            <w:left w:val="single" w:sz="2" w:space="0" w:color="auto"/>
                                            <w:bottom w:val="single" w:sz="2" w:space="0" w:color="auto"/>
                                            <w:right w:val="single" w:sz="2" w:space="0" w:color="auto"/>
                                          </w:divBdr>
                                          <w:divsChild>
                                            <w:div w:id="21324346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1181241209">
      <w:bodyDiv w:val="1"/>
      <w:marLeft w:val="0"/>
      <w:marRight w:val="0"/>
      <w:marTop w:val="0"/>
      <w:marBottom w:val="0"/>
      <w:divBdr>
        <w:top w:val="none" w:sz="0" w:space="0" w:color="auto"/>
        <w:left w:val="none" w:sz="0" w:space="0" w:color="auto"/>
        <w:bottom w:val="none" w:sz="0" w:space="0" w:color="auto"/>
        <w:right w:val="none" w:sz="0" w:space="0" w:color="auto"/>
      </w:divBdr>
    </w:div>
    <w:div w:id="1371226834">
      <w:bodyDiv w:val="1"/>
      <w:marLeft w:val="0"/>
      <w:marRight w:val="0"/>
      <w:marTop w:val="0"/>
      <w:marBottom w:val="0"/>
      <w:divBdr>
        <w:top w:val="none" w:sz="0" w:space="0" w:color="auto"/>
        <w:left w:val="none" w:sz="0" w:space="0" w:color="auto"/>
        <w:bottom w:val="none" w:sz="0" w:space="0" w:color="auto"/>
        <w:right w:val="none" w:sz="0" w:space="0" w:color="auto"/>
      </w:divBdr>
    </w:div>
    <w:div w:id="1447773228">
      <w:bodyDiv w:val="1"/>
      <w:marLeft w:val="0"/>
      <w:marRight w:val="0"/>
      <w:marTop w:val="0"/>
      <w:marBottom w:val="0"/>
      <w:divBdr>
        <w:top w:val="none" w:sz="0" w:space="0" w:color="auto"/>
        <w:left w:val="none" w:sz="0" w:space="0" w:color="auto"/>
        <w:bottom w:val="none" w:sz="0" w:space="0" w:color="auto"/>
        <w:right w:val="none" w:sz="0" w:space="0" w:color="auto"/>
      </w:divBdr>
      <w:divsChild>
        <w:div w:id="1527711108">
          <w:marLeft w:val="0"/>
          <w:marRight w:val="0"/>
          <w:marTop w:val="0"/>
          <w:marBottom w:val="0"/>
          <w:divBdr>
            <w:top w:val="none" w:sz="0" w:space="0" w:color="auto"/>
            <w:left w:val="none" w:sz="0" w:space="0" w:color="auto"/>
            <w:bottom w:val="none" w:sz="0" w:space="0" w:color="auto"/>
            <w:right w:val="none" w:sz="0" w:space="0" w:color="auto"/>
          </w:divBdr>
          <w:divsChild>
            <w:div w:id="1058822933">
              <w:marLeft w:val="0"/>
              <w:marRight w:val="0"/>
              <w:marTop w:val="0"/>
              <w:marBottom w:val="0"/>
              <w:divBdr>
                <w:top w:val="none" w:sz="0" w:space="0" w:color="auto"/>
                <w:left w:val="none" w:sz="0" w:space="0" w:color="auto"/>
                <w:bottom w:val="none" w:sz="0" w:space="0" w:color="auto"/>
                <w:right w:val="none" w:sz="0" w:space="0" w:color="auto"/>
              </w:divBdr>
              <w:divsChild>
                <w:div w:id="198400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803272">
          <w:marLeft w:val="0"/>
          <w:marRight w:val="0"/>
          <w:marTop w:val="0"/>
          <w:marBottom w:val="0"/>
          <w:divBdr>
            <w:top w:val="none" w:sz="0" w:space="0" w:color="auto"/>
            <w:left w:val="none" w:sz="0" w:space="0" w:color="auto"/>
            <w:bottom w:val="none" w:sz="0" w:space="0" w:color="auto"/>
            <w:right w:val="none" w:sz="0" w:space="0" w:color="auto"/>
          </w:divBdr>
          <w:divsChild>
            <w:div w:id="1624729930">
              <w:marLeft w:val="0"/>
              <w:marRight w:val="0"/>
              <w:marTop w:val="0"/>
              <w:marBottom w:val="0"/>
              <w:divBdr>
                <w:top w:val="none" w:sz="0" w:space="0" w:color="auto"/>
                <w:left w:val="none" w:sz="0" w:space="0" w:color="auto"/>
                <w:bottom w:val="none" w:sz="0" w:space="0" w:color="auto"/>
                <w:right w:val="none" w:sz="0" w:space="0" w:color="auto"/>
              </w:divBdr>
              <w:divsChild>
                <w:div w:id="1116830975">
                  <w:marLeft w:val="0"/>
                  <w:marRight w:val="0"/>
                  <w:marTop w:val="0"/>
                  <w:marBottom w:val="0"/>
                  <w:divBdr>
                    <w:top w:val="none" w:sz="0" w:space="0" w:color="auto"/>
                    <w:left w:val="none" w:sz="0" w:space="0" w:color="auto"/>
                    <w:bottom w:val="none" w:sz="0" w:space="0" w:color="auto"/>
                    <w:right w:val="none" w:sz="0" w:space="0" w:color="auto"/>
                  </w:divBdr>
                  <w:divsChild>
                    <w:div w:id="48832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228131">
      <w:bodyDiv w:val="1"/>
      <w:marLeft w:val="0"/>
      <w:marRight w:val="0"/>
      <w:marTop w:val="0"/>
      <w:marBottom w:val="0"/>
      <w:divBdr>
        <w:top w:val="none" w:sz="0" w:space="0" w:color="auto"/>
        <w:left w:val="none" w:sz="0" w:space="0" w:color="auto"/>
        <w:bottom w:val="none" w:sz="0" w:space="0" w:color="auto"/>
        <w:right w:val="none" w:sz="0" w:space="0" w:color="auto"/>
      </w:divBdr>
    </w:div>
    <w:div w:id="1480803458">
      <w:bodyDiv w:val="1"/>
      <w:marLeft w:val="0"/>
      <w:marRight w:val="0"/>
      <w:marTop w:val="0"/>
      <w:marBottom w:val="0"/>
      <w:divBdr>
        <w:top w:val="none" w:sz="0" w:space="0" w:color="auto"/>
        <w:left w:val="none" w:sz="0" w:space="0" w:color="auto"/>
        <w:bottom w:val="none" w:sz="0" w:space="0" w:color="auto"/>
        <w:right w:val="none" w:sz="0" w:space="0" w:color="auto"/>
      </w:divBdr>
    </w:div>
    <w:div w:id="1601060358">
      <w:bodyDiv w:val="1"/>
      <w:marLeft w:val="0"/>
      <w:marRight w:val="0"/>
      <w:marTop w:val="0"/>
      <w:marBottom w:val="0"/>
      <w:divBdr>
        <w:top w:val="none" w:sz="0" w:space="0" w:color="auto"/>
        <w:left w:val="none" w:sz="0" w:space="0" w:color="auto"/>
        <w:bottom w:val="none" w:sz="0" w:space="0" w:color="auto"/>
        <w:right w:val="none" w:sz="0" w:space="0" w:color="auto"/>
      </w:divBdr>
    </w:div>
    <w:div w:id="1777141529">
      <w:bodyDiv w:val="1"/>
      <w:marLeft w:val="0"/>
      <w:marRight w:val="0"/>
      <w:marTop w:val="0"/>
      <w:marBottom w:val="0"/>
      <w:divBdr>
        <w:top w:val="none" w:sz="0" w:space="0" w:color="auto"/>
        <w:left w:val="none" w:sz="0" w:space="0" w:color="auto"/>
        <w:bottom w:val="none" w:sz="0" w:space="0" w:color="auto"/>
        <w:right w:val="none" w:sz="0" w:space="0" w:color="auto"/>
      </w:divBdr>
    </w:div>
    <w:div w:id="1807122246">
      <w:bodyDiv w:val="1"/>
      <w:marLeft w:val="0"/>
      <w:marRight w:val="0"/>
      <w:marTop w:val="0"/>
      <w:marBottom w:val="0"/>
      <w:divBdr>
        <w:top w:val="none" w:sz="0" w:space="0" w:color="auto"/>
        <w:left w:val="none" w:sz="0" w:space="0" w:color="auto"/>
        <w:bottom w:val="none" w:sz="0" w:space="0" w:color="auto"/>
        <w:right w:val="none" w:sz="0" w:space="0" w:color="auto"/>
      </w:divBdr>
      <w:divsChild>
        <w:div w:id="467286236">
          <w:marLeft w:val="0"/>
          <w:marRight w:val="0"/>
          <w:marTop w:val="0"/>
          <w:marBottom w:val="0"/>
          <w:divBdr>
            <w:top w:val="single" w:sz="2" w:space="0" w:color="auto"/>
            <w:left w:val="single" w:sz="2" w:space="0" w:color="auto"/>
            <w:bottom w:val="single" w:sz="2" w:space="0" w:color="auto"/>
            <w:right w:val="single" w:sz="2" w:space="0" w:color="auto"/>
          </w:divBdr>
          <w:divsChild>
            <w:div w:id="1463157521">
              <w:marLeft w:val="0"/>
              <w:marRight w:val="0"/>
              <w:marTop w:val="0"/>
              <w:marBottom w:val="0"/>
              <w:divBdr>
                <w:top w:val="single" w:sz="2" w:space="0" w:color="auto"/>
                <w:left w:val="single" w:sz="2" w:space="0" w:color="auto"/>
                <w:bottom w:val="single" w:sz="2" w:space="0" w:color="auto"/>
                <w:right w:val="single" w:sz="2" w:space="0" w:color="auto"/>
              </w:divBdr>
              <w:divsChild>
                <w:div w:id="1335257064">
                  <w:marLeft w:val="0"/>
                  <w:marRight w:val="0"/>
                  <w:marTop w:val="0"/>
                  <w:marBottom w:val="0"/>
                  <w:divBdr>
                    <w:top w:val="single" w:sz="2" w:space="0" w:color="auto"/>
                    <w:left w:val="single" w:sz="2" w:space="0" w:color="auto"/>
                    <w:bottom w:val="single" w:sz="2" w:space="0" w:color="auto"/>
                    <w:right w:val="single" w:sz="2" w:space="0" w:color="auto"/>
                  </w:divBdr>
                  <w:divsChild>
                    <w:div w:id="689182347">
                      <w:marLeft w:val="0"/>
                      <w:marRight w:val="0"/>
                      <w:marTop w:val="0"/>
                      <w:marBottom w:val="0"/>
                      <w:divBdr>
                        <w:top w:val="single" w:sz="2" w:space="0" w:color="auto"/>
                        <w:left w:val="single" w:sz="2" w:space="0" w:color="auto"/>
                        <w:bottom w:val="single" w:sz="2" w:space="0" w:color="auto"/>
                        <w:right w:val="single" w:sz="2" w:space="0" w:color="auto"/>
                      </w:divBdr>
                      <w:divsChild>
                        <w:div w:id="1616597676">
                          <w:marLeft w:val="0"/>
                          <w:marRight w:val="0"/>
                          <w:marTop w:val="0"/>
                          <w:marBottom w:val="0"/>
                          <w:divBdr>
                            <w:top w:val="single" w:sz="2" w:space="0" w:color="auto"/>
                            <w:left w:val="single" w:sz="2" w:space="0" w:color="auto"/>
                            <w:bottom w:val="single" w:sz="2" w:space="0" w:color="auto"/>
                            <w:right w:val="single" w:sz="2" w:space="0" w:color="auto"/>
                          </w:divBdr>
                          <w:divsChild>
                            <w:div w:id="1457217125">
                              <w:marLeft w:val="0"/>
                              <w:marRight w:val="0"/>
                              <w:marTop w:val="0"/>
                              <w:marBottom w:val="0"/>
                              <w:divBdr>
                                <w:top w:val="single" w:sz="2" w:space="0" w:color="auto"/>
                                <w:left w:val="single" w:sz="2" w:space="0" w:color="auto"/>
                                <w:bottom w:val="single" w:sz="2" w:space="0" w:color="auto"/>
                                <w:right w:val="single" w:sz="2" w:space="0" w:color="auto"/>
                              </w:divBdr>
                              <w:divsChild>
                                <w:div w:id="1944798468">
                                  <w:marLeft w:val="0"/>
                                  <w:marRight w:val="0"/>
                                  <w:marTop w:val="0"/>
                                  <w:marBottom w:val="0"/>
                                  <w:divBdr>
                                    <w:top w:val="single" w:sz="2" w:space="0" w:color="auto"/>
                                    <w:left w:val="single" w:sz="2" w:space="0" w:color="auto"/>
                                    <w:bottom w:val="single" w:sz="2" w:space="0" w:color="auto"/>
                                    <w:right w:val="single" w:sz="2" w:space="0" w:color="auto"/>
                                  </w:divBdr>
                                  <w:divsChild>
                                    <w:div w:id="2056538894">
                                      <w:marLeft w:val="0"/>
                                      <w:marRight w:val="0"/>
                                      <w:marTop w:val="0"/>
                                      <w:marBottom w:val="0"/>
                                      <w:divBdr>
                                        <w:top w:val="single" w:sz="2" w:space="0" w:color="auto"/>
                                        <w:left w:val="single" w:sz="2" w:space="0" w:color="auto"/>
                                        <w:bottom w:val="single" w:sz="2" w:space="0" w:color="auto"/>
                                        <w:right w:val="single" w:sz="2" w:space="0" w:color="auto"/>
                                      </w:divBdr>
                                      <w:divsChild>
                                        <w:div w:id="170212541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840892780">
                      <w:marLeft w:val="0"/>
                      <w:marRight w:val="0"/>
                      <w:marTop w:val="0"/>
                      <w:marBottom w:val="0"/>
                      <w:divBdr>
                        <w:top w:val="single" w:sz="2" w:space="0" w:color="auto"/>
                        <w:left w:val="single" w:sz="2" w:space="0" w:color="auto"/>
                        <w:bottom w:val="single" w:sz="2" w:space="0" w:color="auto"/>
                        <w:right w:val="single" w:sz="2" w:space="0" w:color="auto"/>
                      </w:divBdr>
                      <w:divsChild>
                        <w:div w:id="2127001773">
                          <w:marLeft w:val="0"/>
                          <w:marRight w:val="0"/>
                          <w:marTop w:val="0"/>
                          <w:marBottom w:val="0"/>
                          <w:divBdr>
                            <w:top w:val="single" w:sz="2" w:space="0" w:color="auto"/>
                            <w:left w:val="single" w:sz="2" w:space="0" w:color="auto"/>
                            <w:bottom w:val="single" w:sz="2" w:space="0" w:color="auto"/>
                            <w:right w:val="single" w:sz="2" w:space="0" w:color="auto"/>
                          </w:divBdr>
                          <w:divsChild>
                            <w:div w:id="1077245827">
                              <w:marLeft w:val="15"/>
                              <w:marRight w:val="0"/>
                              <w:marTop w:val="0"/>
                              <w:marBottom w:val="0"/>
                              <w:divBdr>
                                <w:top w:val="single" w:sz="2" w:space="0" w:color="auto"/>
                                <w:left w:val="single" w:sz="2" w:space="0" w:color="auto"/>
                                <w:bottom w:val="single" w:sz="2" w:space="0" w:color="auto"/>
                                <w:right w:val="single" w:sz="2" w:space="0" w:color="auto"/>
                              </w:divBdr>
                              <w:divsChild>
                                <w:div w:id="1615097188">
                                  <w:marLeft w:val="0"/>
                                  <w:marRight w:val="0"/>
                                  <w:marTop w:val="0"/>
                                  <w:marBottom w:val="0"/>
                                  <w:divBdr>
                                    <w:top w:val="single" w:sz="2" w:space="0" w:color="auto"/>
                                    <w:left w:val="single" w:sz="2" w:space="0" w:color="auto"/>
                                    <w:bottom w:val="single" w:sz="2" w:space="0" w:color="auto"/>
                                    <w:right w:val="single" w:sz="2" w:space="0" w:color="auto"/>
                                  </w:divBdr>
                                  <w:divsChild>
                                    <w:div w:id="508837691">
                                      <w:marLeft w:val="0"/>
                                      <w:marRight w:val="0"/>
                                      <w:marTop w:val="0"/>
                                      <w:marBottom w:val="0"/>
                                      <w:divBdr>
                                        <w:top w:val="single" w:sz="2" w:space="0" w:color="auto"/>
                                        <w:left w:val="single" w:sz="2" w:space="0" w:color="auto"/>
                                        <w:bottom w:val="single" w:sz="2" w:space="0" w:color="auto"/>
                                        <w:right w:val="single" w:sz="2" w:space="0" w:color="auto"/>
                                      </w:divBdr>
                                    </w:div>
                                    <w:div w:id="1419248297">
                                      <w:marLeft w:val="0"/>
                                      <w:marRight w:val="0"/>
                                      <w:marTop w:val="0"/>
                                      <w:marBottom w:val="0"/>
                                      <w:divBdr>
                                        <w:top w:val="single" w:sz="2" w:space="0" w:color="auto"/>
                                        <w:left w:val="single" w:sz="2" w:space="0" w:color="auto"/>
                                        <w:bottom w:val="single" w:sz="2" w:space="0" w:color="auto"/>
                                        <w:right w:val="single" w:sz="2" w:space="0" w:color="auto"/>
                                      </w:divBdr>
                                      <w:divsChild>
                                        <w:div w:id="34937824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695887321">
                      <w:marLeft w:val="0"/>
                      <w:marRight w:val="0"/>
                      <w:marTop w:val="0"/>
                      <w:marBottom w:val="0"/>
                      <w:divBdr>
                        <w:top w:val="single" w:sz="2" w:space="0" w:color="auto"/>
                        <w:left w:val="single" w:sz="2" w:space="0" w:color="auto"/>
                        <w:bottom w:val="single" w:sz="2" w:space="0" w:color="auto"/>
                        <w:right w:val="single" w:sz="2" w:space="0" w:color="auto"/>
                      </w:divBdr>
                      <w:divsChild>
                        <w:div w:id="290130610">
                          <w:marLeft w:val="0"/>
                          <w:marRight w:val="0"/>
                          <w:marTop w:val="0"/>
                          <w:marBottom w:val="0"/>
                          <w:divBdr>
                            <w:top w:val="single" w:sz="2" w:space="0" w:color="auto"/>
                            <w:left w:val="single" w:sz="2" w:space="0" w:color="auto"/>
                            <w:bottom w:val="single" w:sz="2" w:space="0" w:color="auto"/>
                            <w:right w:val="single" w:sz="2" w:space="0" w:color="auto"/>
                          </w:divBdr>
                          <w:divsChild>
                            <w:div w:id="1117020798">
                              <w:marLeft w:val="0"/>
                              <w:marRight w:val="0"/>
                              <w:marTop w:val="0"/>
                              <w:marBottom w:val="0"/>
                              <w:divBdr>
                                <w:top w:val="single" w:sz="2" w:space="0" w:color="auto"/>
                                <w:left w:val="single" w:sz="2" w:space="0" w:color="auto"/>
                                <w:bottom w:val="single" w:sz="2" w:space="0" w:color="auto"/>
                                <w:right w:val="single" w:sz="2" w:space="0" w:color="auto"/>
                              </w:divBdr>
                              <w:divsChild>
                                <w:div w:id="437063453">
                                  <w:marLeft w:val="0"/>
                                  <w:marRight w:val="0"/>
                                  <w:marTop w:val="0"/>
                                  <w:marBottom w:val="0"/>
                                  <w:divBdr>
                                    <w:top w:val="single" w:sz="2" w:space="0" w:color="auto"/>
                                    <w:left w:val="single" w:sz="2" w:space="0" w:color="auto"/>
                                    <w:bottom w:val="single" w:sz="2" w:space="0" w:color="auto"/>
                                    <w:right w:val="single" w:sz="2" w:space="0" w:color="auto"/>
                                  </w:divBdr>
                                  <w:divsChild>
                                    <w:div w:id="771783482">
                                      <w:marLeft w:val="0"/>
                                      <w:marRight w:val="0"/>
                                      <w:marTop w:val="0"/>
                                      <w:marBottom w:val="0"/>
                                      <w:divBdr>
                                        <w:top w:val="single" w:sz="2" w:space="0" w:color="auto"/>
                                        <w:left w:val="single" w:sz="2" w:space="0" w:color="auto"/>
                                        <w:bottom w:val="single" w:sz="2" w:space="0" w:color="auto"/>
                                        <w:right w:val="single" w:sz="2" w:space="0" w:color="auto"/>
                                      </w:divBdr>
                                      <w:divsChild>
                                        <w:div w:id="135785466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01485819">
                                  <w:marLeft w:val="0"/>
                                  <w:marRight w:val="0"/>
                                  <w:marTop w:val="0"/>
                                  <w:marBottom w:val="0"/>
                                  <w:divBdr>
                                    <w:top w:val="single" w:sz="2" w:space="0" w:color="auto"/>
                                    <w:left w:val="single" w:sz="2" w:space="0" w:color="auto"/>
                                    <w:bottom w:val="single" w:sz="2" w:space="0" w:color="auto"/>
                                    <w:right w:val="single" w:sz="2" w:space="0" w:color="auto"/>
                                  </w:divBdr>
                                  <w:divsChild>
                                    <w:div w:id="2042002888">
                                      <w:marLeft w:val="0"/>
                                      <w:marRight w:val="0"/>
                                      <w:marTop w:val="0"/>
                                      <w:marBottom w:val="0"/>
                                      <w:divBdr>
                                        <w:top w:val="single" w:sz="2" w:space="0" w:color="auto"/>
                                        <w:left w:val="single" w:sz="2" w:space="0" w:color="auto"/>
                                        <w:bottom w:val="single" w:sz="2" w:space="0" w:color="auto"/>
                                        <w:right w:val="single" w:sz="2" w:space="0" w:color="auto"/>
                                      </w:divBdr>
                                      <w:divsChild>
                                        <w:div w:id="2015036009">
                                          <w:marLeft w:val="0"/>
                                          <w:marRight w:val="0"/>
                                          <w:marTop w:val="0"/>
                                          <w:marBottom w:val="0"/>
                                          <w:divBdr>
                                            <w:top w:val="single" w:sz="2" w:space="0" w:color="auto"/>
                                            <w:left w:val="single" w:sz="2" w:space="0" w:color="auto"/>
                                            <w:bottom w:val="single" w:sz="2" w:space="0" w:color="auto"/>
                                            <w:right w:val="single" w:sz="2" w:space="0" w:color="auto"/>
                                          </w:divBdr>
                                          <w:divsChild>
                                            <w:div w:id="163533162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791506689">
                      <w:marLeft w:val="0"/>
                      <w:marRight w:val="0"/>
                      <w:marTop w:val="0"/>
                      <w:marBottom w:val="0"/>
                      <w:divBdr>
                        <w:top w:val="single" w:sz="2" w:space="0" w:color="auto"/>
                        <w:left w:val="single" w:sz="2" w:space="0" w:color="auto"/>
                        <w:bottom w:val="single" w:sz="2" w:space="0" w:color="auto"/>
                        <w:right w:val="single" w:sz="2" w:space="0" w:color="auto"/>
                      </w:divBdr>
                      <w:divsChild>
                        <w:div w:id="754790856">
                          <w:marLeft w:val="0"/>
                          <w:marRight w:val="0"/>
                          <w:marTop w:val="0"/>
                          <w:marBottom w:val="0"/>
                          <w:divBdr>
                            <w:top w:val="single" w:sz="2" w:space="0" w:color="auto"/>
                            <w:left w:val="single" w:sz="2" w:space="0" w:color="auto"/>
                            <w:bottom w:val="single" w:sz="2" w:space="0" w:color="auto"/>
                            <w:right w:val="single" w:sz="2" w:space="0" w:color="auto"/>
                          </w:divBdr>
                          <w:divsChild>
                            <w:div w:id="1308630089">
                              <w:marLeft w:val="15"/>
                              <w:marRight w:val="0"/>
                              <w:marTop w:val="0"/>
                              <w:marBottom w:val="0"/>
                              <w:divBdr>
                                <w:top w:val="single" w:sz="2" w:space="0" w:color="auto"/>
                                <w:left w:val="single" w:sz="2" w:space="0" w:color="auto"/>
                                <w:bottom w:val="single" w:sz="2" w:space="0" w:color="auto"/>
                                <w:right w:val="single" w:sz="2" w:space="0" w:color="auto"/>
                              </w:divBdr>
                              <w:divsChild>
                                <w:div w:id="1079596167">
                                  <w:marLeft w:val="0"/>
                                  <w:marRight w:val="0"/>
                                  <w:marTop w:val="0"/>
                                  <w:marBottom w:val="0"/>
                                  <w:divBdr>
                                    <w:top w:val="single" w:sz="2" w:space="0" w:color="auto"/>
                                    <w:left w:val="single" w:sz="2" w:space="0" w:color="auto"/>
                                    <w:bottom w:val="single" w:sz="2" w:space="0" w:color="auto"/>
                                    <w:right w:val="single" w:sz="2" w:space="0" w:color="auto"/>
                                  </w:divBdr>
                                  <w:divsChild>
                                    <w:div w:id="972978493">
                                      <w:marLeft w:val="0"/>
                                      <w:marRight w:val="0"/>
                                      <w:marTop w:val="0"/>
                                      <w:marBottom w:val="0"/>
                                      <w:divBdr>
                                        <w:top w:val="single" w:sz="2" w:space="0" w:color="auto"/>
                                        <w:left w:val="single" w:sz="2" w:space="0" w:color="auto"/>
                                        <w:bottom w:val="single" w:sz="2" w:space="0" w:color="auto"/>
                                        <w:right w:val="single" w:sz="2" w:space="0" w:color="auto"/>
                                      </w:divBdr>
                                      <w:divsChild>
                                        <w:div w:id="915630819">
                                          <w:marLeft w:val="0"/>
                                          <w:marRight w:val="0"/>
                                          <w:marTop w:val="0"/>
                                          <w:marBottom w:val="0"/>
                                          <w:divBdr>
                                            <w:top w:val="single" w:sz="2" w:space="0" w:color="auto"/>
                                            <w:left w:val="single" w:sz="2" w:space="0" w:color="auto"/>
                                            <w:bottom w:val="single" w:sz="2" w:space="0" w:color="auto"/>
                                            <w:right w:val="single" w:sz="2" w:space="0" w:color="auto"/>
                                          </w:divBdr>
                                        </w:div>
                                      </w:divsChild>
                                    </w:div>
                                    <w:div w:id="97603412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1060254831">
          <w:marLeft w:val="0"/>
          <w:marRight w:val="0"/>
          <w:marTop w:val="0"/>
          <w:marBottom w:val="0"/>
          <w:divBdr>
            <w:top w:val="single" w:sz="2" w:space="0" w:color="auto"/>
            <w:left w:val="single" w:sz="2" w:space="0" w:color="auto"/>
            <w:bottom w:val="single" w:sz="2" w:space="0" w:color="auto"/>
            <w:right w:val="single" w:sz="2" w:space="0" w:color="auto"/>
          </w:divBdr>
          <w:divsChild>
            <w:div w:id="1045720417">
              <w:marLeft w:val="0"/>
              <w:marRight w:val="0"/>
              <w:marTop w:val="0"/>
              <w:marBottom w:val="0"/>
              <w:divBdr>
                <w:top w:val="single" w:sz="2" w:space="0" w:color="auto"/>
                <w:left w:val="single" w:sz="2" w:space="0" w:color="auto"/>
                <w:bottom w:val="single" w:sz="2" w:space="0" w:color="auto"/>
                <w:right w:val="single" w:sz="2" w:space="0" w:color="auto"/>
              </w:divBdr>
              <w:divsChild>
                <w:div w:id="279150185">
                  <w:marLeft w:val="0"/>
                  <w:marRight w:val="0"/>
                  <w:marTop w:val="0"/>
                  <w:marBottom w:val="0"/>
                  <w:divBdr>
                    <w:top w:val="single" w:sz="2" w:space="0" w:color="auto"/>
                    <w:left w:val="single" w:sz="2" w:space="0" w:color="auto"/>
                    <w:bottom w:val="single" w:sz="2" w:space="0" w:color="auto"/>
                    <w:right w:val="single" w:sz="2" w:space="0" w:color="auto"/>
                  </w:divBdr>
                  <w:divsChild>
                    <w:div w:id="2137284972">
                      <w:marLeft w:val="0"/>
                      <w:marRight w:val="0"/>
                      <w:marTop w:val="0"/>
                      <w:marBottom w:val="0"/>
                      <w:divBdr>
                        <w:top w:val="single" w:sz="2" w:space="0" w:color="auto"/>
                        <w:left w:val="single" w:sz="2" w:space="0" w:color="auto"/>
                        <w:bottom w:val="single" w:sz="2" w:space="0" w:color="auto"/>
                        <w:right w:val="single" w:sz="2" w:space="0" w:color="auto"/>
                      </w:divBdr>
                      <w:divsChild>
                        <w:div w:id="1712456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214034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 /><Relationship Id="rId13" Type="http://schemas.openxmlformats.org/officeDocument/2006/relationships/chart" Target="charts/chart9.xml" /><Relationship Id="rId3" Type="http://schemas.openxmlformats.org/officeDocument/2006/relationships/settings" Target="settings.xml" /><Relationship Id="rId7" Type="http://schemas.openxmlformats.org/officeDocument/2006/relationships/chart" Target="charts/chart3.xml" /><Relationship Id="rId12" Type="http://schemas.openxmlformats.org/officeDocument/2006/relationships/chart" Target="charts/chart8.xml" /><Relationship Id="rId17" Type="http://schemas.openxmlformats.org/officeDocument/2006/relationships/theme" Target="theme/theme1.xml" /><Relationship Id="rId2" Type="http://schemas.openxmlformats.org/officeDocument/2006/relationships/styles" Target="styles.xml" /><Relationship Id="rId16" Type="http://schemas.openxmlformats.org/officeDocument/2006/relationships/fontTable" Target="fontTable.xml" /><Relationship Id="rId1" Type="http://schemas.openxmlformats.org/officeDocument/2006/relationships/numbering" Target="numbering.xml" /><Relationship Id="rId6" Type="http://schemas.openxmlformats.org/officeDocument/2006/relationships/chart" Target="charts/chart2.xml" /><Relationship Id="rId11" Type="http://schemas.openxmlformats.org/officeDocument/2006/relationships/chart" Target="charts/chart7.xml" /><Relationship Id="rId5" Type="http://schemas.openxmlformats.org/officeDocument/2006/relationships/chart" Target="charts/chart1.xml" /><Relationship Id="rId15" Type="http://schemas.openxmlformats.org/officeDocument/2006/relationships/image" Target="media/image1.png" /><Relationship Id="rId10" Type="http://schemas.openxmlformats.org/officeDocument/2006/relationships/chart" Target="charts/chart6.xml" /><Relationship Id="rId4" Type="http://schemas.openxmlformats.org/officeDocument/2006/relationships/webSettings" Target="webSettings.xml" /><Relationship Id="rId9" Type="http://schemas.openxmlformats.org/officeDocument/2006/relationships/chart" Target="charts/chart5.xml" /><Relationship Id="rId14" Type="http://schemas.openxmlformats.org/officeDocument/2006/relationships/chart" Target="charts/chart10.xml" /></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 /><Relationship Id="rId2" Type="http://schemas.microsoft.com/office/2011/relationships/chartColorStyle" Target="colors1.xml" /><Relationship Id="rId1" Type="http://schemas.microsoft.com/office/2011/relationships/chartStyle" Target="style1.xml" /></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 /><Relationship Id="rId2" Type="http://schemas.microsoft.com/office/2011/relationships/chartColorStyle" Target="colors2.xml" /><Relationship Id="rId1" Type="http://schemas.microsoft.com/office/2011/relationships/chartStyle" Target="style2.xml" /></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 /><Relationship Id="rId2" Type="http://schemas.microsoft.com/office/2011/relationships/chartColorStyle" Target="colors3.xml" /><Relationship Id="rId1" Type="http://schemas.microsoft.com/office/2011/relationships/chartStyle" Target="style3.xml" /></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 /><Relationship Id="rId2" Type="http://schemas.microsoft.com/office/2011/relationships/chartColorStyle" Target="colors4.xml" /><Relationship Id="rId1" Type="http://schemas.microsoft.com/office/2011/relationships/chartStyle" Target="style4.xml" /></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 /><Relationship Id="rId2" Type="http://schemas.microsoft.com/office/2011/relationships/chartColorStyle" Target="colors5.xml" /><Relationship Id="rId1" Type="http://schemas.microsoft.com/office/2011/relationships/chartStyle" Target="style5.xml" /></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 /><Relationship Id="rId2" Type="http://schemas.microsoft.com/office/2011/relationships/chartColorStyle" Target="colors6.xml" /><Relationship Id="rId1" Type="http://schemas.microsoft.com/office/2011/relationships/chartStyle" Target="style6.xml" /></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 /><Relationship Id="rId2" Type="http://schemas.microsoft.com/office/2011/relationships/chartColorStyle" Target="colors7.xml" /><Relationship Id="rId1" Type="http://schemas.microsoft.com/office/2011/relationships/chartStyle" Target="style7.xml" /></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 /><Relationship Id="rId2" Type="http://schemas.microsoft.com/office/2011/relationships/chartColorStyle" Target="colors8.xml" /><Relationship Id="rId1" Type="http://schemas.microsoft.com/office/2011/relationships/chartStyle" Target="style8.xml" /></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 /><Relationship Id="rId2" Type="http://schemas.microsoft.com/office/2011/relationships/chartColorStyle" Target="colors9.xml" /><Relationship Id="rId1" Type="http://schemas.microsoft.com/office/2011/relationships/chartStyle" Target="style9.xml" /></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 /><Relationship Id="rId2" Type="http://schemas.microsoft.com/office/2011/relationships/chartColorStyle" Target="colors10.xml" /><Relationship Id="rId1" Type="http://schemas.microsoft.com/office/2011/relationships/chartStyle" Target="style10.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Categorie de Recettes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0.51473787178816666"/>
          <c:y val="0.15210116731517512"/>
          <c:w val="0.44016167720732324"/>
          <c:h val="0.72387113575783568"/>
        </c:manualLayout>
      </c:layout>
      <c:barChart>
        <c:barDir val="bar"/>
        <c:grouping val="clustered"/>
        <c:varyColors val="0"/>
        <c:ser>
          <c:idx val="0"/>
          <c:order val="0"/>
          <c:tx>
            <c:strRef>
              <c:f>Feuil1!$G$61</c:f>
              <c:strCache>
                <c:ptCount val="1"/>
                <c:pt idx="0">
                  <c:v>Montant (Mds FCFA)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Feuil1!$F$62:$F$72</c:f>
              <c:strCache>
                <c:ptCount val="11"/>
                <c:pt idx="0">
                  <c:v>Dont fiscalité pétrole</c:v>
                </c:pt>
                <c:pt idx="1">
                  <c:v>Dons budgétaires</c:v>
                </c:pt>
                <c:pt idx="2">
                  <c:v>Dont revenus pétrole</c:v>
                </c:pt>
                <c:pt idx="3">
                  <c:v>Recettes non fiscales</c:v>
                </c:pt>
                <c:pt idx="4">
                  <c:v>Dons en capital</c:v>
                </c:pt>
                <c:pt idx="5">
                  <c:v>Comptes spéciaux du Trésor</c:v>
                </c:pt>
                <c:pt idx="6">
                  <c:v>Total recettes externes</c:v>
                </c:pt>
                <c:pt idx="7">
                  <c:v>Recettes fiscales</c:v>
                </c:pt>
                <c:pt idx="8">
                  <c:v>Total recettes internes</c:v>
                </c:pt>
                <c:pt idx="9">
                  <c:v>Total recettes Budget général</c:v>
                </c:pt>
                <c:pt idx="10">
                  <c:v>Total recettes Loi de finances</c:v>
                </c:pt>
              </c:strCache>
            </c:strRef>
          </c:cat>
          <c:val>
            <c:numRef>
              <c:f>Feuil1!$G$62:$G$72</c:f>
              <c:numCache>
                <c:formatCode>General</c:formatCode>
                <c:ptCount val="11"/>
                <c:pt idx="0">
                  <c:v>2.7</c:v>
                </c:pt>
                <c:pt idx="1">
                  <c:v>45</c:v>
                </c:pt>
                <c:pt idx="2">
                  <c:v>48.1</c:v>
                </c:pt>
                <c:pt idx="3">
                  <c:v>190</c:v>
                </c:pt>
                <c:pt idx="4">
                  <c:v>200</c:v>
                </c:pt>
                <c:pt idx="5">
                  <c:v>219.7</c:v>
                </c:pt>
                <c:pt idx="6">
                  <c:v>245</c:v>
                </c:pt>
                <c:pt idx="7">
                  <c:v>4359.6000000000004</c:v>
                </c:pt>
                <c:pt idx="8">
                  <c:v>4549.6000000000004</c:v>
                </c:pt>
                <c:pt idx="9">
                  <c:v>4794.6000000000004</c:v>
                </c:pt>
                <c:pt idx="10">
                  <c:v>5014.3</c:v>
                </c:pt>
              </c:numCache>
            </c:numRef>
          </c:val>
          <c:extLst>
            <c:ext xmlns:c16="http://schemas.microsoft.com/office/drawing/2014/chart" uri="{C3380CC4-5D6E-409C-BE32-E72D297353CC}">
              <c16:uniqueId val="{00000000-CDAB-4776-A0B9-96EDBA1C7AFD}"/>
            </c:ext>
          </c:extLst>
        </c:ser>
        <c:dLbls>
          <c:dLblPos val="outEnd"/>
          <c:showLegendKey val="0"/>
          <c:showVal val="1"/>
          <c:showCatName val="0"/>
          <c:showSerName val="0"/>
          <c:showPercent val="0"/>
          <c:showBubbleSize val="0"/>
        </c:dLbls>
        <c:gapWidth val="219"/>
        <c:axId val="1079797423"/>
        <c:axId val="1079797903"/>
        <c:extLst>
          <c:ext xmlns:c15="http://schemas.microsoft.com/office/drawing/2012/chart" uri="{02D57815-91ED-43cb-92C2-25804820EDAC}">
            <c15:filteredBarSeries>
              <c15:ser>
                <c:idx val="1"/>
                <c:order val="1"/>
                <c:tx>
                  <c:strRef>
                    <c:extLst>
                      <c:ext uri="{02D57815-91ED-43cb-92C2-25804820EDAC}">
                        <c15:formulaRef>
                          <c15:sqref>Feuil1!$H$61</c15:sqref>
                        </c15:formulaRef>
                      </c:ext>
                    </c:extLst>
                    <c:strCache>
                      <c:ptCount val="1"/>
                      <c:pt idx="0">
                        <c:v>Variation 2024/2025</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Feuil1!$F$62:$F$72</c15:sqref>
                        </c15:formulaRef>
                      </c:ext>
                    </c:extLst>
                    <c:strCache>
                      <c:ptCount val="11"/>
                      <c:pt idx="0">
                        <c:v>Dont fiscalité pétrole</c:v>
                      </c:pt>
                      <c:pt idx="1">
                        <c:v>Dons budgétaires</c:v>
                      </c:pt>
                      <c:pt idx="2">
                        <c:v>Dont revenus pétrole</c:v>
                      </c:pt>
                      <c:pt idx="3">
                        <c:v>Recettes non fiscales</c:v>
                      </c:pt>
                      <c:pt idx="4">
                        <c:v>Dons en capital</c:v>
                      </c:pt>
                      <c:pt idx="5">
                        <c:v>Comptes spéciaux du Trésor</c:v>
                      </c:pt>
                      <c:pt idx="6">
                        <c:v>Total recettes externes</c:v>
                      </c:pt>
                      <c:pt idx="7">
                        <c:v>Recettes fiscales</c:v>
                      </c:pt>
                      <c:pt idx="8">
                        <c:v>Total recettes internes</c:v>
                      </c:pt>
                      <c:pt idx="9">
                        <c:v>Total recettes Budget général</c:v>
                      </c:pt>
                      <c:pt idx="10">
                        <c:v>Total recettes Loi de finances</c:v>
                      </c:pt>
                    </c:strCache>
                  </c:strRef>
                </c:cat>
                <c:val>
                  <c:numRef>
                    <c:extLst>
                      <c:ext uri="{02D57815-91ED-43cb-92C2-25804820EDAC}">
                        <c15:formulaRef>
                          <c15:sqref>Feuil1!$H$62:$H$72</c15:sqref>
                        </c15:formulaRef>
                      </c:ext>
                    </c:extLst>
                    <c:numCache>
                      <c:formatCode>0.00%</c:formatCode>
                      <c:ptCount val="11"/>
                      <c:pt idx="0">
                        <c:v>-0.86599999999999999</c:v>
                      </c:pt>
                      <c:pt idx="1">
                        <c:v>-4.5999999999999999E-2</c:v>
                      </c:pt>
                      <c:pt idx="2">
                        <c:v>0.66600000000000004</c:v>
                      </c:pt>
                      <c:pt idx="3">
                        <c:v>-9.5000000000000001E-2</c:v>
                      </c:pt>
                      <c:pt idx="4">
                        <c:v>-0.221</c:v>
                      </c:pt>
                      <c:pt idx="5">
                        <c:v>-8.0000000000000002E-3</c:v>
                      </c:pt>
                      <c:pt idx="6">
                        <c:v>-0.193</c:v>
                      </c:pt>
                      <c:pt idx="7">
                        <c:v>4.2999999999999997E-2</c:v>
                      </c:pt>
                      <c:pt idx="8">
                        <c:v>3.5999999999999997E-2</c:v>
                      </c:pt>
                      <c:pt idx="9">
                        <c:v>2.1000000000000001E-2</c:v>
                      </c:pt>
                      <c:pt idx="10">
                        <c:v>0.02</c:v>
                      </c:pt>
                    </c:numCache>
                  </c:numRef>
                </c:val>
                <c:extLst>
                  <c:ext xmlns:c16="http://schemas.microsoft.com/office/drawing/2014/chart" uri="{C3380CC4-5D6E-409C-BE32-E72D297353CC}">
                    <c16:uniqueId val="{00000001-CDAB-4776-A0B9-96EDBA1C7AFD}"/>
                  </c:ext>
                </c:extLst>
              </c15:ser>
            </c15:filteredBarSeries>
          </c:ext>
        </c:extLst>
      </c:barChart>
      <c:catAx>
        <c:axId val="107979742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079797903"/>
        <c:crosses val="autoZero"/>
        <c:auto val="1"/>
        <c:lblAlgn val="ctr"/>
        <c:lblOffset val="100"/>
        <c:noMultiLvlLbl val="0"/>
      </c:catAx>
      <c:valAx>
        <c:axId val="1079797903"/>
        <c:scaling>
          <c:orientation val="minMax"/>
        </c:scaling>
        <c:delete val="1"/>
        <c:axPos val="b"/>
        <c:numFmt formatCode="General" sourceLinked="1"/>
        <c:majorTickMark val="none"/>
        <c:minorTickMark val="none"/>
        <c:tickLblPos val="nextTo"/>
        <c:crossAx val="10797974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7.9451065366558327E-2"/>
          <c:y val="0.14125244618395305"/>
          <c:w val="0.92054893463344167"/>
          <c:h val="0.72225002696580731"/>
        </c:manualLayout>
      </c:layout>
      <c:barChart>
        <c:barDir val="bar"/>
        <c:grouping val="clustered"/>
        <c:varyColors val="0"/>
        <c:ser>
          <c:idx val="1"/>
          <c:order val="1"/>
          <c:tx>
            <c:strRef>
              <c:f>Feuil1!$H$61</c:f>
              <c:strCache>
                <c:ptCount val="1"/>
                <c:pt idx="0">
                  <c:v>Variation 2024/2025</c:v>
                </c:pt>
              </c:strCache>
            </c:strRef>
          </c:tx>
          <c:spPr>
            <a:solidFill>
              <a:schemeClr val="accent2">
                <a:tint val="77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Feuil1!$F$62:$F$72</c:f>
              <c:strCache>
                <c:ptCount val="11"/>
                <c:pt idx="0">
                  <c:v>Dont fiscalité pétrole</c:v>
                </c:pt>
                <c:pt idx="1">
                  <c:v>Dons budgétaires</c:v>
                </c:pt>
                <c:pt idx="2">
                  <c:v>Dont revenus pétrole</c:v>
                </c:pt>
                <c:pt idx="3">
                  <c:v>Recettes non fiscales</c:v>
                </c:pt>
                <c:pt idx="4">
                  <c:v>Dons en capital</c:v>
                </c:pt>
                <c:pt idx="5">
                  <c:v>Comptes spéciaux du Trésor</c:v>
                </c:pt>
                <c:pt idx="6">
                  <c:v>Total recettes externes</c:v>
                </c:pt>
                <c:pt idx="7">
                  <c:v>Recettes fiscales</c:v>
                </c:pt>
                <c:pt idx="8">
                  <c:v>Total recettes internes</c:v>
                </c:pt>
                <c:pt idx="9">
                  <c:v>Total recettes Budget général</c:v>
                </c:pt>
                <c:pt idx="10">
                  <c:v>Total recettes Loi de finances</c:v>
                </c:pt>
              </c:strCache>
            </c:strRef>
          </c:cat>
          <c:val>
            <c:numRef>
              <c:f>Feuil1!$H$62:$H$72</c:f>
              <c:numCache>
                <c:formatCode>0.00%</c:formatCode>
                <c:ptCount val="11"/>
                <c:pt idx="0">
                  <c:v>-0.86599999999999999</c:v>
                </c:pt>
                <c:pt idx="1">
                  <c:v>-4.5999999999999999E-2</c:v>
                </c:pt>
                <c:pt idx="2">
                  <c:v>0.66600000000000004</c:v>
                </c:pt>
                <c:pt idx="3">
                  <c:v>-9.5000000000000001E-2</c:v>
                </c:pt>
                <c:pt idx="4">
                  <c:v>-0.221</c:v>
                </c:pt>
                <c:pt idx="5">
                  <c:v>-8.0000000000000002E-3</c:v>
                </c:pt>
                <c:pt idx="6">
                  <c:v>-0.193</c:v>
                </c:pt>
                <c:pt idx="7">
                  <c:v>4.2999999999999997E-2</c:v>
                </c:pt>
                <c:pt idx="8">
                  <c:v>3.5999999999999997E-2</c:v>
                </c:pt>
                <c:pt idx="9">
                  <c:v>2.1000000000000001E-2</c:v>
                </c:pt>
                <c:pt idx="10">
                  <c:v>0.02</c:v>
                </c:pt>
              </c:numCache>
            </c:numRef>
          </c:val>
          <c:extLst>
            <c:ext xmlns:c16="http://schemas.microsoft.com/office/drawing/2014/chart" uri="{C3380CC4-5D6E-409C-BE32-E72D297353CC}">
              <c16:uniqueId val="{00000000-D233-42AB-93EC-DFD8841607D1}"/>
            </c:ext>
          </c:extLst>
        </c:ser>
        <c:dLbls>
          <c:showLegendKey val="0"/>
          <c:showVal val="1"/>
          <c:showCatName val="0"/>
          <c:showSerName val="0"/>
          <c:showPercent val="0"/>
          <c:showBubbleSize val="0"/>
        </c:dLbls>
        <c:gapWidth val="219"/>
        <c:axId val="1079797423"/>
        <c:axId val="1079797903"/>
        <c:extLst>
          <c:ext xmlns:c15="http://schemas.microsoft.com/office/drawing/2012/chart" uri="{02D57815-91ED-43cb-92C2-25804820EDAC}">
            <c15:filteredBarSeries>
              <c15:ser>
                <c:idx val="0"/>
                <c:order val="0"/>
                <c:tx>
                  <c:strRef>
                    <c:extLst>
                      <c:ext uri="{02D57815-91ED-43cb-92C2-25804820EDAC}">
                        <c15:formulaRef>
                          <c15:sqref>Feuil1!$G$61</c15:sqref>
                        </c15:formulaRef>
                      </c:ext>
                    </c:extLst>
                    <c:strCache>
                      <c:ptCount val="1"/>
                      <c:pt idx="0">
                        <c:v>Montant (Mds FCFA)</c:v>
                      </c:pt>
                    </c:strCache>
                  </c:strRef>
                </c:tx>
                <c:spPr>
                  <a:solidFill>
                    <a:schemeClr val="accent2">
                      <a:shade val="76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Feuil1!$F$62:$F$72</c15:sqref>
                        </c15:formulaRef>
                      </c:ext>
                    </c:extLst>
                    <c:strCache>
                      <c:ptCount val="11"/>
                      <c:pt idx="0">
                        <c:v>Dont fiscalité pétrole</c:v>
                      </c:pt>
                      <c:pt idx="1">
                        <c:v>Dons budgétaires</c:v>
                      </c:pt>
                      <c:pt idx="2">
                        <c:v>Dont revenus pétrole</c:v>
                      </c:pt>
                      <c:pt idx="3">
                        <c:v>Recettes non fiscales</c:v>
                      </c:pt>
                      <c:pt idx="4">
                        <c:v>Dons en capital</c:v>
                      </c:pt>
                      <c:pt idx="5">
                        <c:v>Comptes spéciaux du Trésor</c:v>
                      </c:pt>
                      <c:pt idx="6">
                        <c:v>Total recettes externes</c:v>
                      </c:pt>
                      <c:pt idx="7">
                        <c:v>Recettes fiscales</c:v>
                      </c:pt>
                      <c:pt idx="8">
                        <c:v>Total recettes internes</c:v>
                      </c:pt>
                      <c:pt idx="9">
                        <c:v>Total recettes Budget général</c:v>
                      </c:pt>
                      <c:pt idx="10">
                        <c:v>Total recettes Loi de finances</c:v>
                      </c:pt>
                    </c:strCache>
                  </c:strRef>
                </c:cat>
                <c:val>
                  <c:numRef>
                    <c:extLst>
                      <c:ext uri="{02D57815-91ED-43cb-92C2-25804820EDAC}">
                        <c15:formulaRef>
                          <c15:sqref>Feuil1!$G$62:$G$72</c15:sqref>
                        </c15:formulaRef>
                      </c:ext>
                    </c:extLst>
                    <c:numCache>
                      <c:formatCode>General</c:formatCode>
                      <c:ptCount val="11"/>
                      <c:pt idx="0">
                        <c:v>2.7</c:v>
                      </c:pt>
                      <c:pt idx="1">
                        <c:v>45</c:v>
                      </c:pt>
                      <c:pt idx="2">
                        <c:v>48.1</c:v>
                      </c:pt>
                      <c:pt idx="3">
                        <c:v>190</c:v>
                      </c:pt>
                      <c:pt idx="4">
                        <c:v>200</c:v>
                      </c:pt>
                      <c:pt idx="5">
                        <c:v>219.7</c:v>
                      </c:pt>
                      <c:pt idx="6">
                        <c:v>245</c:v>
                      </c:pt>
                      <c:pt idx="7">
                        <c:v>4359.6000000000004</c:v>
                      </c:pt>
                      <c:pt idx="8">
                        <c:v>4549.6000000000004</c:v>
                      </c:pt>
                      <c:pt idx="9">
                        <c:v>4794.6000000000004</c:v>
                      </c:pt>
                      <c:pt idx="10">
                        <c:v>5014.3</c:v>
                      </c:pt>
                    </c:numCache>
                  </c:numRef>
                </c:val>
                <c:extLst>
                  <c:ext xmlns:c16="http://schemas.microsoft.com/office/drawing/2014/chart" uri="{C3380CC4-5D6E-409C-BE32-E72D297353CC}">
                    <c16:uniqueId val="{00000001-D233-42AB-93EC-DFD8841607D1}"/>
                  </c:ext>
                </c:extLst>
              </c15:ser>
            </c15:filteredBarSeries>
          </c:ext>
        </c:extLst>
      </c:barChart>
      <c:catAx>
        <c:axId val="107979742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079797903"/>
        <c:crosses val="autoZero"/>
        <c:auto val="1"/>
        <c:lblAlgn val="ctr"/>
        <c:lblOffset val="100"/>
        <c:noMultiLvlLbl val="0"/>
      </c:catAx>
      <c:valAx>
        <c:axId val="1079797903"/>
        <c:scaling>
          <c:orientation val="minMax"/>
        </c:scaling>
        <c:delete val="1"/>
        <c:axPos val="b"/>
        <c:numFmt formatCode="0.00%" sourceLinked="1"/>
        <c:majorTickMark val="none"/>
        <c:minorTickMark val="none"/>
        <c:tickLblPos val="nextTo"/>
        <c:crossAx val="10797974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Categorie des Depenses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Feuil1!$B$29</c:f>
              <c:strCache>
                <c:ptCount val="1"/>
                <c:pt idx="0">
                  <c:v>Montant (Mds FCFA)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Feuil1!$A$30:$A$36</c:f>
              <c:strCache>
                <c:ptCount val="7"/>
                <c:pt idx="0">
                  <c:v>Investissements internes</c:v>
                </c:pt>
                <c:pt idx="1">
                  <c:v>Dette publique</c:v>
                </c:pt>
                <c:pt idx="2">
                  <c:v>Investissements externes</c:v>
                </c:pt>
                <c:pt idx="3">
                  <c:v>Personnel</c:v>
                </c:pt>
                <c:pt idx="4">
                  <c:v>Biens et services</c:v>
                </c:pt>
                <c:pt idx="5">
                  <c:v>Dépenses courantes</c:v>
                </c:pt>
                <c:pt idx="6">
                  <c:v>Total dépenses</c:v>
                </c:pt>
              </c:strCache>
            </c:strRef>
          </c:cat>
          <c:val>
            <c:numRef>
              <c:f>Feuil1!$B$30:$B$36</c:f>
              <c:numCache>
                <c:formatCode>_(* #,##0.00_);_(* \(#,##0.00\);_(* "-"??_);_(@_)</c:formatCode>
                <c:ptCount val="7"/>
                <c:pt idx="0">
                  <c:v>880</c:v>
                </c:pt>
                <c:pt idx="1">
                  <c:v>932.1</c:v>
                </c:pt>
                <c:pt idx="2">
                  <c:v>1167</c:v>
                </c:pt>
                <c:pt idx="3">
                  <c:v>1485.5</c:v>
                </c:pt>
                <c:pt idx="4">
                  <c:v>1930.5</c:v>
                </c:pt>
                <c:pt idx="5">
                  <c:v>4348.1000000000004</c:v>
                </c:pt>
                <c:pt idx="6">
                  <c:v>6614.8</c:v>
                </c:pt>
              </c:numCache>
            </c:numRef>
          </c:val>
          <c:extLst>
            <c:ext xmlns:c16="http://schemas.microsoft.com/office/drawing/2014/chart" uri="{C3380CC4-5D6E-409C-BE32-E72D297353CC}">
              <c16:uniqueId val="{00000000-BDB7-4227-A261-B50574A1BFF4}"/>
            </c:ext>
          </c:extLst>
        </c:ser>
        <c:dLbls>
          <c:dLblPos val="outEnd"/>
          <c:showLegendKey val="0"/>
          <c:showVal val="1"/>
          <c:showCatName val="0"/>
          <c:showSerName val="0"/>
          <c:showPercent val="0"/>
          <c:showBubbleSize val="0"/>
        </c:dLbls>
        <c:gapWidth val="219"/>
        <c:axId val="460489055"/>
        <c:axId val="460491455"/>
        <c:extLst>
          <c:ext xmlns:c15="http://schemas.microsoft.com/office/drawing/2012/chart" uri="{02D57815-91ED-43cb-92C2-25804820EDAC}">
            <c15:filteredBarSeries>
              <c15:ser>
                <c:idx val="1"/>
                <c:order val="1"/>
                <c:tx>
                  <c:strRef>
                    <c:extLst>
                      <c:ext uri="{02D57815-91ED-43cb-92C2-25804820EDAC}">
                        <c15:formulaRef>
                          <c15:sqref>Feuil1!$C$29</c15:sqref>
                        </c15:formulaRef>
                      </c:ext>
                    </c:extLst>
                    <c:strCache>
                      <c:ptCount val="1"/>
                      <c:pt idx="0">
                        <c:v>Variation 2024/2025</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Feuil1!$A$30:$A$36</c15:sqref>
                        </c15:formulaRef>
                      </c:ext>
                    </c:extLst>
                    <c:strCache>
                      <c:ptCount val="7"/>
                      <c:pt idx="0">
                        <c:v>Investissements internes</c:v>
                      </c:pt>
                      <c:pt idx="1">
                        <c:v>Dette publique</c:v>
                      </c:pt>
                      <c:pt idx="2">
                        <c:v>Investissements externes</c:v>
                      </c:pt>
                      <c:pt idx="3">
                        <c:v>Personnel</c:v>
                      </c:pt>
                      <c:pt idx="4">
                        <c:v>Biens et services</c:v>
                      </c:pt>
                      <c:pt idx="5">
                        <c:v>Dépenses courantes</c:v>
                      </c:pt>
                      <c:pt idx="6">
                        <c:v>Total dépenses</c:v>
                      </c:pt>
                    </c:strCache>
                  </c:strRef>
                </c:cat>
                <c:val>
                  <c:numRef>
                    <c:extLst>
                      <c:ext uri="{02D57815-91ED-43cb-92C2-25804820EDAC}">
                        <c15:formulaRef>
                          <c15:sqref>Feuil1!$C$30:$C$36</c15:sqref>
                        </c15:formulaRef>
                      </c:ext>
                    </c:extLst>
                    <c:numCache>
                      <c:formatCode>0.00%</c:formatCode>
                      <c:ptCount val="7"/>
                      <c:pt idx="0">
                        <c:v>-0.224</c:v>
                      </c:pt>
                      <c:pt idx="1">
                        <c:v>0.61199999999999999</c:v>
                      </c:pt>
                      <c:pt idx="2">
                        <c:v>0.66300000000000003</c:v>
                      </c:pt>
                      <c:pt idx="3">
                        <c:v>0.03</c:v>
                      </c:pt>
                      <c:pt idx="4">
                        <c:v>0.151</c:v>
                      </c:pt>
                      <c:pt idx="5">
                        <c:v>0.17599999999999999</c:v>
                      </c:pt>
                      <c:pt idx="6">
                        <c:v>0.14899999999999999</c:v>
                      </c:pt>
                    </c:numCache>
                  </c:numRef>
                </c:val>
                <c:extLst>
                  <c:ext xmlns:c16="http://schemas.microsoft.com/office/drawing/2014/chart" uri="{C3380CC4-5D6E-409C-BE32-E72D297353CC}">
                    <c16:uniqueId val="{00000001-BDB7-4227-A261-B50574A1BFF4}"/>
                  </c:ext>
                </c:extLst>
              </c15:ser>
            </c15:filteredBarSeries>
          </c:ext>
        </c:extLst>
      </c:barChart>
      <c:catAx>
        <c:axId val="4604890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60491455"/>
        <c:crosses val="autoZero"/>
        <c:auto val="1"/>
        <c:lblAlgn val="ctr"/>
        <c:lblOffset val="100"/>
        <c:noMultiLvlLbl val="0"/>
      </c:catAx>
      <c:valAx>
        <c:axId val="460491455"/>
        <c:scaling>
          <c:orientation val="minMax"/>
        </c:scaling>
        <c:delete val="1"/>
        <c:axPos val="b"/>
        <c:numFmt formatCode="_(* #,##0.00_);_(* \(#,##0.00\);_(* &quot;-&quot;??_);_(@_)" sourceLinked="1"/>
        <c:majorTickMark val="none"/>
        <c:minorTickMark val="none"/>
        <c:tickLblPos val="nextTo"/>
        <c:crossAx val="460489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1"/>
          <c:order val="1"/>
          <c:tx>
            <c:strRef>
              <c:f>Feuil1!$C$29</c:f>
              <c:strCache>
                <c:ptCount val="1"/>
                <c:pt idx="0">
                  <c:v>Variation 2024/2025</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Feuil1!$A$30:$A$36</c:f>
              <c:strCache>
                <c:ptCount val="7"/>
                <c:pt idx="0">
                  <c:v>Investissements internes</c:v>
                </c:pt>
                <c:pt idx="1">
                  <c:v>Dette publique</c:v>
                </c:pt>
                <c:pt idx="2">
                  <c:v>Investissements externes</c:v>
                </c:pt>
                <c:pt idx="3">
                  <c:v>Personnel</c:v>
                </c:pt>
                <c:pt idx="4">
                  <c:v>Biens et services</c:v>
                </c:pt>
                <c:pt idx="5">
                  <c:v>Dépenses courantes</c:v>
                </c:pt>
                <c:pt idx="6">
                  <c:v>Total dépenses</c:v>
                </c:pt>
              </c:strCache>
            </c:strRef>
          </c:cat>
          <c:val>
            <c:numRef>
              <c:f>Feuil1!$C$30:$C$36</c:f>
              <c:numCache>
                <c:formatCode>0.00%</c:formatCode>
                <c:ptCount val="7"/>
                <c:pt idx="0">
                  <c:v>-0.224</c:v>
                </c:pt>
                <c:pt idx="1">
                  <c:v>0.61199999999999999</c:v>
                </c:pt>
                <c:pt idx="2">
                  <c:v>0.66300000000000003</c:v>
                </c:pt>
                <c:pt idx="3">
                  <c:v>0.03</c:v>
                </c:pt>
                <c:pt idx="4">
                  <c:v>0.151</c:v>
                </c:pt>
                <c:pt idx="5">
                  <c:v>0.17599999999999999</c:v>
                </c:pt>
                <c:pt idx="6">
                  <c:v>0.14899999999999999</c:v>
                </c:pt>
              </c:numCache>
            </c:numRef>
          </c:val>
          <c:extLst>
            <c:ext xmlns:c16="http://schemas.microsoft.com/office/drawing/2014/chart" uri="{C3380CC4-5D6E-409C-BE32-E72D297353CC}">
              <c16:uniqueId val="{00000000-2E6B-40F7-BFA0-3B72684FBB65}"/>
            </c:ext>
          </c:extLst>
        </c:ser>
        <c:dLbls>
          <c:showLegendKey val="0"/>
          <c:showVal val="1"/>
          <c:showCatName val="0"/>
          <c:showSerName val="0"/>
          <c:showPercent val="0"/>
          <c:showBubbleSize val="0"/>
        </c:dLbls>
        <c:gapWidth val="219"/>
        <c:axId val="460489055"/>
        <c:axId val="460491455"/>
        <c:extLst>
          <c:ext xmlns:c15="http://schemas.microsoft.com/office/drawing/2012/chart" uri="{02D57815-91ED-43cb-92C2-25804820EDAC}">
            <c15:filteredBarSeries>
              <c15:ser>
                <c:idx val="0"/>
                <c:order val="0"/>
                <c:tx>
                  <c:strRef>
                    <c:extLst>
                      <c:ext uri="{02D57815-91ED-43cb-92C2-25804820EDAC}">
                        <c15:formulaRef>
                          <c15:sqref>Feuil1!$B$29</c15:sqref>
                        </c15:formulaRef>
                      </c:ext>
                    </c:extLst>
                    <c:strCache>
                      <c:ptCount val="1"/>
                      <c:pt idx="0">
                        <c:v>Montant (Mds FCFA)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Feuil1!$A$30:$A$36</c15:sqref>
                        </c15:formulaRef>
                      </c:ext>
                    </c:extLst>
                    <c:strCache>
                      <c:ptCount val="7"/>
                      <c:pt idx="0">
                        <c:v>Investissements internes</c:v>
                      </c:pt>
                      <c:pt idx="1">
                        <c:v>Dette publique</c:v>
                      </c:pt>
                      <c:pt idx="2">
                        <c:v>Investissements externes</c:v>
                      </c:pt>
                      <c:pt idx="3">
                        <c:v>Personnel</c:v>
                      </c:pt>
                      <c:pt idx="4">
                        <c:v>Biens et services</c:v>
                      </c:pt>
                      <c:pt idx="5">
                        <c:v>Dépenses courantes</c:v>
                      </c:pt>
                      <c:pt idx="6">
                        <c:v>Total dépenses</c:v>
                      </c:pt>
                    </c:strCache>
                  </c:strRef>
                </c:cat>
                <c:val>
                  <c:numRef>
                    <c:extLst>
                      <c:ext uri="{02D57815-91ED-43cb-92C2-25804820EDAC}">
                        <c15:formulaRef>
                          <c15:sqref>Feuil1!$B$30:$B$36</c15:sqref>
                        </c15:formulaRef>
                      </c:ext>
                    </c:extLst>
                    <c:numCache>
                      <c:formatCode>_(* #,##0.00_);_(* \(#,##0.00\);_(* "-"??_);_(@_)</c:formatCode>
                      <c:ptCount val="7"/>
                      <c:pt idx="0">
                        <c:v>880</c:v>
                      </c:pt>
                      <c:pt idx="1">
                        <c:v>932.1</c:v>
                      </c:pt>
                      <c:pt idx="2">
                        <c:v>1167</c:v>
                      </c:pt>
                      <c:pt idx="3">
                        <c:v>1485.5</c:v>
                      </c:pt>
                      <c:pt idx="4">
                        <c:v>1930.5</c:v>
                      </c:pt>
                      <c:pt idx="5">
                        <c:v>4348.1000000000004</c:v>
                      </c:pt>
                      <c:pt idx="6">
                        <c:v>6614.8</c:v>
                      </c:pt>
                    </c:numCache>
                  </c:numRef>
                </c:val>
                <c:extLst>
                  <c:ext xmlns:c16="http://schemas.microsoft.com/office/drawing/2014/chart" uri="{C3380CC4-5D6E-409C-BE32-E72D297353CC}">
                    <c16:uniqueId val="{00000001-2E6B-40F7-BFA0-3B72684FBB65}"/>
                  </c:ext>
                </c:extLst>
              </c15:ser>
            </c15:filteredBarSeries>
          </c:ext>
        </c:extLst>
      </c:barChart>
      <c:catAx>
        <c:axId val="4604890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crossAx val="460491455"/>
        <c:crosses val="autoZero"/>
        <c:auto val="1"/>
        <c:lblAlgn val="ctr"/>
        <c:lblOffset val="100"/>
        <c:noMultiLvlLbl val="0"/>
      </c:catAx>
      <c:valAx>
        <c:axId val="460491455"/>
        <c:scaling>
          <c:orientation val="minMax"/>
        </c:scaling>
        <c:delete val="1"/>
        <c:axPos val="b"/>
        <c:numFmt formatCode="0.00%" sourceLinked="1"/>
        <c:majorTickMark val="none"/>
        <c:minorTickMark val="none"/>
        <c:tickLblPos val="nextTo"/>
        <c:crossAx val="46048905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Tableau comparatif Recettes/Depenses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Feuil1!$C$116</c:f>
              <c:strCache>
                <c:ptCount val="1"/>
                <c:pt idx="0">
                  <c:v>Budget général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Feuil1!$D$115:$E$115</c:f>
              <c:strCache>
                <c:ptCount val="2"/>
                <c:pt idx="0">
                  <c:v>Recettes (Mds FCFA)</c:v>
                </c:pt>
                <c:pt idx="1">
                  <c:v>Dépenses (Mds FCFA)</c:v>
                </c:pt>
              </c:strCache>
              <c:extLst/>
            </c:strRef>
          </c:cat>
          <c:val>
            <c:numRef>
              <c:f>Feuil1!$D$116:$E$116</c:f>
              <c:numCache>
                <c:formatCode>_(* #,##0.00_);_(* \(#,##0.00\);_(* "-"??_);_(@_)</c:formatCode>
                <c:ptCount val="2"/>
                <c:pt idx="0">
                  <c:v>4794.6000000000004</c:v>
                </c:pt>
                <c:pt idx="1">
                  <c:v>6395.1</c:v>
                </c:pt>
              </c:numCache>
              <c:extLst/>
            </c:numRef>
          </c:val>
          <c:extLst>
            <c:ext xmlns:c16="http://schemas.microsoft.com/office/drawing/2014/chart" uri="{C3380CC4-5D6E-409C-BE32-E72D297353CC}">
              <c16:uniqueId val="{00000000-1425-46F0-8A19-84D68392EF41}"/>
            </c:ext>
          </c:extLst>
        </c:ser>
        <c:ser>
          <c:idx val="1"/>
          <c:order val="1"/>
          <c:tx>
            <c:strRef>
              <c:f>Feuil1!$C$117</c:f>
              <c:strCache>
                <c:ptCount val="1"/>
                <c:pt idx="0">
                  <c:v>Comptes spéciaux du Trésor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Feuil1!$D$115:$E$115</c:f>
              <c:strCache>
                <c:ptCount val="2"/>
                <c:pt idx="0">
                  <c:v>Recettes (Mds FCFA)</c:v>
                </c:pt>
                <c:pt idx="1">
                  <c:v>Dépenses (Mds FCFA)</c:v>
                </c:pt>
              </c:strCache>
              <c:extLst/>
            </c:strRef>
          </c:cat>
          <c:val>
            <c:numRef>
              <c:f>Feuil1!$D$117:$E$117</c:f>
              <c:numCache>
                <c:formatCode>_(* #,##0.00_);_(* \(#,##0.00\);_(* "-"??_);_(@_)</c:formatCode>
                <c:ptCount val="2"/>
                <c:pt idx="0">
                  <c:v>219.7</c:v>
                </c:pt>
                <c:pt idx="1">
                  <c:v>219.7</c:v>
                </c:pt>
              </c:numCache>
              <c:extLst/>
            </c:numRef>
          </c:val>
          <c:extLst>
            <c:ext xmlns:c16="http://schemas.microsoft.com/office/drawing/2014/chart" uri="{C3380CC4-5D6E-409C-BE32-E72D297353CC}">
              <c16:uniqueId val="{00000001-1425-46F0-8A19-84D68392EF41}"/>
            </c:ext>
          </c:extLst>
        </c:ser>
        <c:dLbls>
          <c:showLegendKey val="0"/>
          <c:showVal val="1"/>
          <c:showCatName val="0"/>
          <c:showSerName val="0"/>
          <c:showPercent val="0"/>
          <c:showBubbleSize val="0"/>
        </c:dLbls>
        <c:gapWidth val="219"/>
        <c:overlap val="-27"/>
        <c:axId val="1215294335"/>
        <c:axId val="1215295295"/>
        <c:extLst>
          <c:ext xmlns:c15="http://schemas.microsoft.com/office/drawing/2012/chart" uri="{02D57815-91ED-43cb-92C2-25804820EDAC}">
            <c15:filteredBarSeries>
              <c15:ser>
                <c:idx val="2"/>
                <c:order val="2"/>
                <c:tx>
                  <c:strRef>
                    <c:extLst>
                      <c:ext uri="{02D57815-91ED-43cb-92C2-25804820EDAC}">
                        <c15:formulaRef>
                          <c15:sqref>Feuil1!$C$118</c15:sqref>
                        </c15:formulaRef>
                      </c:ext>
                    </c:extLst>
                    <c:strCache>
                      <c:ptCount val="1"/>
                      <c:pt idx="0">
                        <c:v>Total Loi de finances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Feuil1!$D$115:$E$115</c15:sqref>
                        </c15:formulaRef>
                      </c:ext>
                    </c:extLst>
                    <c:strCache>
                      <c:ptCount val="2"/>
                      <c:pt idx="0">
                        <c:v>Recettes (Mds FCFA)</c:v>
                      </c:pt>
                      <c:pt idx="1">
                        <c:v>Dépenses (Mds FCFA)</c:v>
                      </c:pt>
                    </c:strCache>
                  </c:strRef>
                </c:cat>
                <c:val>
                  <c:numRef>
                    <c:extLst>
                      <c:ext uri="{02D57815-91ED-43cb-92C2-25804820EDAC}">
                        <c15:formulaRef>
                          <c15:sqref>Feuil1!$D$118:$E$118</c15:sqref>
                        </c15:formulaRef>
                      </c:ext>
                    </c:extLst>
                    <c:numCache>
                      <c:formatCode>_(* #,##0.00_);_(* \(#,##0.00\);_(* "-"??_);_(@_)</c:formatCode>
                      <c:ptCount val="2"/>
                      <c:pt idx="0">
                        <c:v>5014.3</c:v>
                      </c:pt>
                      <c:pt idx="1">
                        <c:v>6614.8</c:v>
                      </c:pt>
                    </c:numCache>
                  </c:numRef>
                </c:val>
                <c:extLst>
                  <c:ext xmlns:c16="http://schemas.microsoft.com/office/drawing/2014/chart" uri="{C3380CC4-5D6E-409C-BE32-E72D297353CC}">
                    <c16:uniqueId val="{00000002-1425-46F0-8A19-84D68392EF41}"/>
                  </c:ext>
                </c:extLst>
              </c15:ser>
            </c15:filteredBarSeries>
          </c:ext>
        </c:extLst>
      </c:barChart>
      <c:lineChart>
        <c:grouping val="standard"/>
        <c:varyColors val="0"/>
        <c:dLbls>
          <c:showLegendKey val="0"/>
          <c:showVal val="1"/>
          <c:showCatName val="0"/>
          <c:showSerName val="0"/>
          <c:showPercent val="0"/>
          <c:showBubbleSize val="0"/>
        </c:dLbls>
        <c:marker val="1"/>
        <c:smooth val="0"/>
        <c:axId val="1215287135"/>
        <c:axId val="1215280415"/>
        <c:extLst>
          <c:ext xmlns:c15="http://schemas.microsoft.com/office/drawing/2012/chart" uri="{02D57815-91ED-43cb-92C2-25804820EDAC}">
            <c15:filteredLineSeries>
              <c15:ser>
                <c:idx val="3"/>
                <c:order val="3"/>
                <c:tx>
                  <c:strRef>
                    <c:extLst>
                      <c:ext uri="{02D57815-91ED-43cb-92C2-25804820EDAC}">
                        <c15:formulaRef>
                          <c15:sqref>Feuil1!$C$119</c15:sqref>
                        </c15:formulaRef>
                      </c:ext>
                    </c:extLst>
                    <c:strCache>
                      <c:ptCount val="1"/>
                      <c:pt idx="0">
                        <c:v>% du PIB</c:v>
                      </c:pt>
                    </c:strCache>
                  </c:strRef>
                </c:tx>
                <c:spPr>
                  <a:ln w="28575" cap="rnd">
                    <a:solidFill>
                      <a:schemeClr val="accent4"/>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Feuil1!$D$115:$E$115</c15:sqref>
                        </c15:formulaRef>
                      </c:ext>
                    </c:extLst>
                    <c:strCache>
                      <c:ptCount val="2"/>
                      <c:pt idx="0">
                        <c:v>Recettes (Mds FCFA)</c:v>
                      </c:pt>
                      <c:pt idx="1">
                        <c:v>Dépenses (Mds FCFA)</c:v>
                      </c:pt>
                    </c:strCache>
                  </c:strRef>
                </c:cat>
                <c:val>
                  <c:numRef>
                    <c:extLst>
                      <c:ext uri="{02D57815-91ED-43cb-92C2-25804820EDAC}">
                        <c15:formulaRef>
                          <c15:sqref>Feuil1!$D$119:$E$119</c15:sqref>
                        </c15:formulaRef>
                      </c:ext>
                    </c:extLst>
                    <c:numCache>
                      <c:formatCode>0.00%</c:formatCode>
                      <c:ptCount val="2"/>
                      <c:pt idx="0">
                        <c:v>0.222</c:v>
                      </c:pt>
                      <c:pt idx="1">
                        <c:v>0.29299999999999998</c:v>
                      </c:pt>
                    </c:numCache>
                  </c:numRef>
                </c:val>
                <c:smooth val="0"/>
                <c:extLst>
                  <c:ext xmlns:c16="http://schemas.microsoft.com/office/drawing/2014/chart" uri="{C3380CC4-5D6E-409C-BE32-E72D297353CC}">
                    <c16:uniqueId val="{00000003-1425-46F0-8A19-84D68392EF41}"/>
                  </c:ext>
                </c:extLst>
              </c15:ser>
            </c15:filteredLineSeries>
          </c:ext>
        </c:extLst>
      </c:lineChart>
      <c:catAx>
        <c:axId val="12152943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15295295"/>
        <c:crosses val="autoZero"/>
        <c:auto val="1"/>
        <c:lblAlgn val="ctr"/>
        <c:lblOffset val="100"/>
        <c:noMultiLvlLbl val="0"/>
      </c:catAx>
      <c:valAx>
        <c:axId val="1215295295"/>
        <c:scaling>
          <c:orientation val="minMax"/>
        </c:scaling>
        <c:delete val="1"/>
        <c:axPos val="l"/>
        <c:numFmt formatCode="_(* #,##0.00_);_(* \(#,##0.00\);_(* &quot;-&quot;??_);_(@_)" sourceLinked="1"/>
        <c:majorTickMark val="none"/>
        <c:minorTickMark val="none"/>
        <c:tickLblPos val="nextTo"/>
        <c:crossAx val="1215294335"/>
        <c:crosses val="autoZero"/>
        <c:crossBetween val="between"/>
      </c:valAx>
      <c:valAx>
        <c:axId val="1215280415"/>
        <c:scaling>
          <c:orientation val="minMax"/>
        </c:scaling>
        <c:delete val="1"/>
        <c:axPos val="r"/>
        <c:numFmt formatCode="0.00%" sourceLinked="1"/>
        <c:majorTickMark val="none"/>
        <c:minorTickMark val="none"/>
        <c:tickLblPos val="nextTo"/>
        <c:crossAx val="1215287135"/>
        <c:crosses val="max"/>
        <c:crossBetween val="between"/>
      </c:valAx>
      <c:catAx>
        <c:axId val="1215287135"/>
        <c:scaling>
          <c:orientation val="minMax"/>
        </c:scaling>
        <c:delete val="1"/>
        <c:axPos val="b"/>
        <c:numFmt formatCode="General" sourceLinked="1"/>
        <c:majorTickMark val="none"/>
        <c:minorTickMark val="none"/>
        <c:tickLblPos val="nextTo"/>
        <c:crossAx val="1215280415"/>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Ecart</a:t>
            </a:r>
            <a:r>
              <a:rPr lang="fr-FR" baseline="0"/>
              <a:t> Recettes et dépenses  LFI 2025</a:t>
            </a:r>
            <a:endParaRPr lang="fr-F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4.6511627906976744E-2"/>
          <c:y val="0.17675925925925923"/>
          <c:w val="0.94503171247357298"/>
          <c:h val="0.59233741615631375"/>
        </c:manualLayout>
      </c:layout>
      <c:barChart>
        <c:barDir val="col"/>
        <c:grouping val="clustered"/>
        <c:varyColors val="0"/>
        <c:ser>
          <c:idx val="2"/>
          <c:order val="2"/>
          <c:tx>
            <c:strRef>
              <c:f>Feuil1!$C$118</c:f>
              <c:strCache>
                <c:ptCount val="1"/>
                <c:pt idx="0">
                  <c:v>Total Loi de finances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Feuil1!$D$115:$F$115</c:f>
              <c:strCache>
                <c:ptCount val="3"/>
                <c:pt idx="0">
                  <c:v>Recettes (Mds FCFA)</c:v>
                </c:pt>
                <c:pt idx="1">
                  <c:v>Dépenses (Mds FCFA)</c:v>
                </c:pt>
                <c:pt idx="2">
                  <c:v>Écart</c:v>
                </c:pt>
              </c:strCache>
            </c:strRef>
          </c:cat>
          <c:val>
            <c:numRef>
              <c:f>Feuil1!$D$118:$F$118</c:f>
              <c:numCache>
                <c:formatCode>_(* #,##0.00_);_(* \(#,##0.00\);_(* "-"??_);_(@_)</c:formatCode>
                <c:ptCount val="3"/>
                <c:pt idx="0">
                  <c:v>5014.3</c:v>
                </c:pt>
                <c:pt idx="1">
                  <c:v>6614.8</c:v>
                </c:pt>
                <c:pt idx="2">
                  <c:v>-1600.5</c:v>
                </c:pt>
              </c:numCache>
            </c:numRef>
          </c:val>
          <c:extLst>
            <c:ext xmlns:c16="http://schemas.microsoft.com/office/drawing/2014/chart" uri="{C3380CC4-5D6E-409C-BE32-E72D297353CC}">
              <c16:uniqueId val="{00000000-5872-444D-BA5D-73D4172C61C7}"/>
            </c:ext>
          </c:extLst>
        </c:ser>
        <c:dLbls>
          <c:showLegendKey val="0"/>
          <c:showVal val="1"/>
          <c:showCatName val="0"/>
          <c:showSerName val="0"/>
          <c:showPercent val="0"/>
          <c:showBubbleSize val="0"/>
        </c:dLbls>
        <c:gapWidth val="219"/>
        <c:overlap val="-27"/>
        <c:axId val="1215294335"/>
        <c:axId val="1215295295"/>
        <c:extLst>
          <c:ext xmlns:c15="http://schemas.microsoft.com/office/drawing/2012/chart" uri="{02D57815-91ED-43cb-92C2-25804820EDAC}">
            <c15:filteredBarSeries>
              <c15:ser>
                <c:idx val="0"/>
                <c:order val="0"/>
                <c:tx>
                  <c:strRef>
                    <c:extLst>
                      <c:ext uri="{02D57815-91ED-43cb-92C2-25804820EDAC}">
                        <c15:formulaRef>
                          <c15:sqref>Feuil1!$C$116</c15:sqref>
                        </c15:formulaRef>
                      </c:ext>
                    </c:extLst>
                    <c:strCache>
                      <c:ptCount val="1"/>
                      <c:pt idx="0">
                        <c:v>Budget général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Feuil1!$D$115:$F$115</c15:sqref>
                        </c15:formulaRef>
                      </c:ext>
                    </c:extLst>
                    <c:strCache>
                      <c:ptCount val="3"/>
                      <c:pt idx="0">
                        <c:v>Recettes (Mds FCFA)</c:v>
                      </c:pt>
                      <c:pt idx="1">
                        <c:v>Dépenses (Mds FCFA)</c:v>
                      </c:pt>
                      <c:pt idx="2">
                        <c:v>Écart</c:v>
                      </c:pt>
                    </c:strCache>
                  </c:strRef>
                </c:cat>
                <c:val>
                  <c:numRef>
                    <c:extLst>
                      <c:ext uri="{02D57815-91ED-43cb-92C2-25804820EDAC}">
                        <c15:formulaRef>
                          <c15:sqref>Feuil1!$D$116:$F$116</c15:sqref>
                        </c15:formulaRef>
                      </c:ext>
                    </c:extLst>
                    <c:numCache>
                      <c:formatCode>_(* #,##0.00_);_(* \(#,##0.00\);_(* "-"??_);_(@_)</c:formatCode>
                      <c:ptCount val="3"/>
                      <c:pt idx="0">
                        <c:v>4794.6000000000004</c:v>
                      </c:pt>
                      <c:pt idx="1">
                        <c:v>6395.1</c:v>
                      </c:pt>
                      <c:pt idx="2">
                        <c:v>-1600.5</c:v>
                      </c:pt>
                    </c:numCache>
                  </c:numRef>
                </c:val>
                <c:extLst>
                  <c:ext xmlns:c16="http://schemas.microsoft.com/office/drawing/2014/chart" uri="{C3380CC4-5D6E-409C-BE32-E72D297353CC}">
                    <c16:uniqueId val="{00000001-5872-444D-BA5D-73D4172C61C7}"/>
                  </c:ext>
                </c:extLst>
              </c15:ser>
            </c15:filteredBarSeries>
            <c15:filteredBarSeries>
              <c15:ser>
                <c:idx val="1"/>
                <c:order val="1"/>
                <c:tx>
                  <c:strRef>
                    <c:extLst xmlns:c15="http://schemas.microsoft.com/office/drawing/2012/chart">
                      <c:ext xmlns:c15="http://schemas.microsoft.com/office/drawing/2012/chart" uri="{02D57815-91ED-43cb-92C2-25804820EDAC}">
                        <c15:formulaRef>
                          <c15:sqref>Feuil1!$C$117</c15:sqref>
                        </c15:formulaRef>
                      </c:ext>
                    </c:extLst>
                    <c:strCache>
                      <c:ptCount val="1"/>
                      <c:pt idx="0">
                        <c:v>Comptes spéciaux du Trésor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Feuil1!$D$115:$F$115</c15:sqref>
                        </c15:formulaRef>
                      </c:ext>
                    </c:extLst>
                    <c:strCache>
                      <c:ptCount val="3"/>
                      <c:pt idx="0">
                        <c:v>Recettes (Mds FCFA)</c:v>
                      </c:pt>
                      <c:pt idx="1">
                        <c:v>Dépenses (Mds FCFA)</c:v>
                      </c:pt>
                      <c:pt idx="2">
                        <c:v>Écart</c:v>
                      </c:pt>
                    </c:strCache>
                  </c:strRef>
                </c:cat>
                <c:val>
                  <c:numRef>
                    <c:extLst xmlns:c15="http://schemas.microsoft.com/office/drawing/2012/chart">
                      <c:ext xmlns:c15="http://schemas.microsoft.com/office/drawing/2012/chart" uri="{02D57815-91ED-43cb-92C2-25804820EDAC}">
                        <c15:formulaRef>
                          <c15:sqref>Feuil1!$D$117:$F$117</c15:sqref>
                        </c15:formulaRef>
                      </c:ext>
                    </c:extLst>
                    <c:numCache>
                      <c:formatCode>_(* #,##0.00_);_(* \(#,##0.00\);_(* "-"??_);_(@_)</c:formatCode>
                      <c:ptCount val="3"/>
                      <c:pt idx="0">
                        <c:v>219.7</c:v>
                      </c:pt>
                      <c:pt idx="1">
                        <c:v>219.7</c:v>
                      </c:pt>
                      <c:pt idx="2">
                        <c:v>0</c:v>
                      </c:pt>
                    </c:numCache>
                  </c:numRef>
                </c:val>
                <c:extLst xmlns:c15="http://schemas.microsoft.com/office/drawing/2012/chart">
                  <c:ext xmlns:c16="http://schemas.microsoft.com/office/drawing/2014/chart" uri="{C3380CC4-5D6E-409C-BE32-E72D297353CC}">
                    <c16:uniqueId val="{00000002-5872-444D-BA5D-73D4172C61C7}"/>
                  </c:ext>
                </c:extLst>
              </c15:ser>
            </c15:filteredBarSeries>
          </c:ext>
        </c:extLst>
      </c:barChart>
      <c:lineChart>
        <c:grouping val="standard"/>
        <c:varyColors val="0"/>
        <c:dLbls>
          <c:showLegendKey val="0"/>
          <c:showVal val="1"/>
          <c:showCatName val="0"/>
          <c:showSerName val="0"/>
          <c:showPercent val="0"/>
          <c:showBubbleSize val="0"/>
        </c:dLbls>
        <c:marker val="1"/>
        <c:smooth val="0"/>
        <c:axId val="1215287135"/>
        <c:axId val="1215280415"/>
        <c:extLst>
          <c:ext xmlns:c15="http://schemas.microsoft.com/office/drawing/2012/chart" uri="{02D57815-91ED-43cb-92C2-25804820EDAC}">
            <c15:filteredLineSeries>
              <c15:ser>
                <c:idx val="3"/>
                <c:order val="3"/>
                <c:tx>
                  <c:strRef>
                    <c:extLst>
                      <c:ext uri="{02D57815-91ED-43cb-92C2-25804820EDAC}">
                        <c15:formulaRef>
                          <c15:sqref>Feuil1!$C$119</c15:sqref>
                        </c15:formulaRef>
                      </c:ext>
                    </c:extLst>
                    <c:strCache>
                      <c:ptCount val="1"/>
                      <c:pt idx="0">
                        <c:v>% du PIB</c:v>
                      </c:pt>
                    </c:strCache>
                  </c:strRef>
                </c:tx>
                <c:spPr>
                  <a:ln w="28575" cap="rnd">
                    <a:solidFill>
                      <a:schemeClr val="accent4"/>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Feuil1!$D$115:$F$115</c15:sqref>
                        </c15:formulaRef>
                      </c:ext>
                    </c:extLst>
                    <c:strCache>
                      <c:ptCount val="3"/>
                      <c:pt idx="0">
                        <c:v>Recettes (Mds FCFA)</c:v>
                      </c:pt>
                      <c:pt idx="1">
                        <c:v>Dépenses (Mds FCFA)</c:v>
                      </c:pt>
                      <c:pt idx="2">
                        <c:v>Écart</c:v>
                      </c:pt>
                    </c:strCache>
                  </c:strRef>
                </c:cat>
                <c:val>
                  <c:numRef>
                    <c:extLst>
                      <c:ext uri="{02D57815-91ED-43cb-92C2-25804820EDAC}">
                        <c15:formulaRef>
                          <c15:sqref>Feuil1!$D$119:$F$119</c15:sqref>
                        </c15:formulaRef>
                      </c:ext>
                    </c:extLst>
                    <c:numCache>
                      <c:formatCode>0.00%</c:formatCode>
                      <c:ptCount val="3"/>
                      <c:pt idx="0">
                        <c:v>0.222</c:v>
                      </c:pt>
                      <c:pt idx="1">
                        <c:v>0.29299999999999998</c:v>
                      </c:pt>
                      <c:pt idx="2">
                        <c:v>-7.0800000000000002E-2</c:v>
                      </c:pt>
                    </c:numCache>
                  </c:numRef>
                </c:val>
                <c:smooth val="0"/>
                <c:extLst>
                  <c:ext xmlns:c16="http://schemas.microsoft.com/office/drawing/2014/chart" uri="{C3380CC4-5D6E-409C-BE32-E72D297353CC}">
                    <c16:uniqueId val="{00000003-5872-444D-BA5D-73D4172C61C7}"/>
                  </c:ext>
                </c:extLst>
              </c15:ser>
            </c15:filteredLineSeries>
          </c:ext>
        </c:extLst>
      </c:lineChart>
      <c:catAx>
        <c:axId val="12152943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15295295"/>
        <c:crosses val="autoZero"/>
        <c:auto val="1"/>
        <c:lblAlgn val="ctr"/>
        <c:lblOffset val="100"/>
        <c:noMultiLvlLbl val="0"/>
      </c:catAx>
      <c:valAx>
        <c:axId val="1215295295"/>
        <c:scaling>
          <c:orientation val="minMax"/>
        </c:scaling>
        <c:delete val="1"/>
        <c:axPos val="l"/>
        <c:numFmt formatCode="_(* #,##0.00_);_(* \(#,##0.00\);_(* &quot;-&quot;??_);_(@_)" sourceLinked="1"/>
        <c:majorTickMark val="none"/>
        <c:minorTickMark val="none"/>
        <c:tickLblPos val="nextTo"/>
        <c:crossAx val="1215294335"/>
        <c:crosses val="autoZero"/>
        <c:crossBetween val="between"/>
      </c:valAx>
      <c:valAx>
        <c:axId val="1215280415"/>
        <c:scaling>
          <c:orientation val="minMax"/>
        </c:scaling>
        <c:delete val="1"/>
        <c:axPos val="r"/>
        <c:numFmt formatCode="0.00%" sourceLinked="1"/>
        <c:majorTickMark val="none"/>
        <c:minorTickMark val="none"/>
        <c:tickLblPos val="nextTo"/>
        <c:crossAx val="1215287135"/>
        <c:crosses val="max"/>
        <c:crossBetween val="between"/>
      </c:valAx>
      <c:catAx>
        <c:axId val="1215287135"/>
        <c:scaling>
          <c:orientation val="minMax"/>
        </c:scaling>
        <c:delete val="1"/>
        <c:axPos val="b"/>
        <c:numFmt formatCode="General" sourceLinked="1"/>
        <c:majorTickMark val="none"/>
        <c:minorTickMark val="none"/>
        <c:tickLblPos val="nextTo"/>
        <c:crossAx val="1215280415"/>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 du PIB des recettes et </a:t>
            </a:r>
            <a:r>
              <a:rPr lang="fr-FR"/>
              <a:t>dépenses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3"/>
          <c:order val="3"/>
          <c:tx>
            <c:strRef>
              <c:f>Feuil1!$C$119</c:f>
              <c:strCache>
                <c:ptCount val="1"/>
                <c:pt idx="0">
                  <c:v>% du PIB</c:v>
                </c:pt>
              </c:strCache>
            </c:strRef>
          </c:tx>
          <c:spPr>
            <a:solidFill>
              <a:schemeClr val="accent2">
                <a:tint val="58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Feuil1!$D$115:$F$115</c:f>
              <c:strCache>
                <c:ptCount val="3"/>
                <c:pt idx="0">
                  <c:v>Recettes (Mds FCFA)</c:v>
                </c:pt>
                <c:pt idx="1">
                  <c:v>Dépenses (Mds FCFA)</c:v>
                </c:pt>
                <c:pt idx="2">
                  <c:v>Écart</c:v>
                </c:pt>
              </c:strCache>
            </c:strRef>
          </c:cat>
          <c:val>
            <c:numRef>
              <c:f>Feuil1!$D$119:$F$119</c:f>
              <c:numCache>
                <c:formatCode>0.00%</c:formatCode>
                <c:ptCount val="3"/>
                <c:pt idx="0">
                  <c:v>0.222</c:v>
                </c:pt>
                <c:pt idx="1">
                  <c:v>0.29299999999999998</c:v>
                </c:pt>
                <c:pt idx="2">
                  <c:v>-7.0800000000000002E-2</c:v>
                </c:pt>
              </c:numCache>
            </c:numRef>
          </c:val>
          <c:extLst>
            <c:ext xmlns:c16="http://schemas.microsoft.com/office/drawing/2014/chart" uri="{C3380CC4-5D6E-409C-BE32-E72D297353CC}">
              <c16:uniqueId val="{00000000-86D7-4D8B-9F39-7AB95FA55077}"/>
            </c:ext>
          </c:extLst>
        </c:ser>
        <c:dLbls>
          <c:showLegendKey val="0"/>
          <c:showVal val="1"/>
          <c:showCatName val="0"/>
          <c:showSerName val="0"/>
          <c:showPercent val="0"/>
          <c:showBubbleSize val="0"/>
        </c:dLbls>
        <c:gapWidth val="219"/>
        <c:axId val="1215294335"/>
        <c:axId val="1215295295"/>
        <c:extLst>
          <c:ext xmlns:c15="http://schemas.microsoft.com/office/drawing/2012/chart" uri="{02D57815-91ED-43cb-92C2-25804820EDAC}">
            <c15:filteredBarSeries>
              <c15:ser>
                <c:idx val="0"/>
                <c:order val="0"/>
                <c:tx>
                  <c:strRef>
                    <c:extLst>
                      <c:ext uri="{02D57815-91ED-43cb-92C2-25804820EDAC}">
                        <c15:formulaRef>
                          <c15:sqref>Feuil1!$C$116</c15:sqref>
                        </c15:formulaRef>
                      </c:ext>
                    </c:extLst>
                    <c:strCache>
                      <c:ptCount val="1"/>
                      <c:pt idx="0">
                        <c:v>Budget général</c:v>
                      </c:pt>
                    </c:strCache>
                  </c:strRef>
                </c:tx>
                <c:spPr>
                  <a:solidFill>
                    <a:schemeClr val="accent2">
                      <a:shade val="58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Feuil1!$D$115:$F$115</c15:sqref>
                        </c15:formulaRef>
                      </c:ext>
                    </c:extLst>
                    <c:strCache>
                      <c:ptCount val="3"/>
                      <c:pt idx="0">
                        <c:v>Recettes (Mds FCFA)</c:v>
                      </c:pt>
                      <c:pt idx="1">
                        <c:v>Dépenses (Mds FCFA)</c:v>
                      </c:pt>
                      <c:pt idx="2">
                        <c:v>Écart</c:v>
                      </c:pt>
                    </c:strCache>
                  </c:strRef>
                </c:cat>
                <c:val>
                  <c:numRef>
                    <c:extLst>
                      <c:ext uri="{02D57815-91ED-43cb-92C2-25804820EDAC}">
                        <c15:formulaRef>
                          <c15:sqref>Feuil1!$D$116:$F$116</c15:sqref>
                        </c15:formulaRef>
                      </c:ext>
                    </c:extLst>
                    <c:numCache>
                      <c:formatCode>_(* #,##0.00_);_(* \(#,##0.00\);_(* "-"??_);_(@_)</c:formatCode>
                      <c:ptCount val="3"/>
                      <c:pt idx="0">
                        <c:v>4794.6000000000004</c:v>
                      </c:pt>
                      <c:pt idx="1">
                        <c:v>6395.1</c:v>
                      </c:pt>
                      <c:pt idx="2">
                        <c:v>-1600.5</c:v>
                      </c:pt>
                    </c:numCache>
                  </c:numRef>
                </c:val>
                <c:extLst>
                  <c:ext xmlns:c16="http://schemas.microsoft.com/office/drawing/2014/chart" uri="{C3380CC4-5D6E-409C-BE32-E72D297353CC}">
                    <c16:uniqueId val="{00000001-86D7-4D8B-9F39-7AB95FA55077}"/>
                  </c:ext>
                </c:extLst>
              </c15:ser>
            </c15:filteredBarSeries>
            <c15:filteredBarSeries>
              <c15:ser>
                <c:idx val="1"/>
                <c:order val="1"/>
                <c:tx>
                  <c:strRef>
                    <c:extLst xmlns:c15="http://schemas.microsoft.com/office/drawing/2012/chart">
                      <c:ext xmlns:c15="http://schemas.microsoft.com/office/drawing/2012/chart" uri="{02D57815-91ED-43cb-92C2-25804820EDAC}">
                        <c15:formulaRef>
                          <c15:sqref>Feuil1!$C$117</c15:sqref>
                        </c15:formulaRef>
                      </c:ext>
                    </c:extLst>
                    <c:strCache>
                      <c:ptCount val="1"/>
                      <c:pt idx="0">
                        <c:v>Comptes spéciaux du Trésor</c:v>
                      </c:pt>
                    </c:strCache>
                  </c:strRef>
                </c:tx>
                <c:spPr>
                  <a:solidFill>
                    <a:schemeClr val="accent2">
                      <a:shade val="86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Feuil1!$D$115:$F$115</c15:sqref>
                        </c15:formulaRef>
                      </c:ext>
                    </c:extLst>
                    <c:strCache>
                      <c:ptCount val="3"/>
                      <c:pt idx="0">
                        <c:v>Recettes (Mds FCFA)</c:v>
                      </c:pt>
                      <c:pt idx="1">
                        <c:v>Dépenses (Mds FCFA)</c:v>
                      </c:pt>
                      <c:pt idx="2">
                        <c:v>Écart</c:v>
                      </c:pt>
                    </c:strCache>
                  </c:strRef>
                </c:cat>
                <c:val>
                  <c:numRef>
                    <c:extLst xmlns:c15="http://schemas.microsoft.com/office/drawing/2012/chart">
                      <c:ext xmlns:c15="http://schemas.microsoft.com/office/drawing/2012/chart" uri="{02D57815-91ED-43cb-92C2-25804820EDAC}">
                        <c15:formulaRef>
                          <c15:sqref>Feuil1!$D$117:$F$117</c15:sqref>
                        </c15:formulaRef>
                      </c:ext>
                    </c:extLst>
                    <c:numCache>
                      <c:formatCode>_(* #,##0.00_);_(* \(#,##0.00\);_(* "-"??_);_(@_)</c:formatCode>
                      <c:ptCount val="3"/>
                      <c:pt idx="0">
                        <c:v>219.7</c:v>
                      </c:pt>
                      <c:pt idx="1">
                        <c:v>219.7</c:v>
                      </c:pt>
                      <c:pt idx="2">
                        <c:v>0</c:v>
                      </c:pt>
                    </c:numCache>
                  </c:numRef>
                </c:val>
                <c:extLst xmlns:c15="http://schemas.microsoft.com/office/drawing/2012/chart">
                  <c:ext xmlns:c16="http://schemas.microsoft.com/office/drawing/2014/chart" uri="{C3380CC4-5D6E-409C-BE32-E72D297353CC}">
                    <c16:uniqueId val="{00000002-86D7-4D8B-9F39-7AB95FA55077}"/>
                  </c:ext>
                </c:extLst>
              </c15:ser>
            </c15:filteredBarSeries>
            <c15:filteredBarSeries>
              <c15:ser>
                <c:idx val="2"/>
                <c:order val="2"/>
                <c:tx>
                  <c:strRef>
                    <c:extLst xmlns:c15="http://schemas.microsoft.com/office/drawing/2012/chart">
                      <c:ext xmlns:c15="http://schemas.microsoft.com/office/drawing/2012/chart" uri="{02D57815-91ED-43cb-92C2-25804820EDAC}">
                        <c15:formulaRef>
                          <c15:sqref>Feuil1!$C$118</c15:sqref>
                        </c15:formulaRef>
                      </c:ext>
                    </c:extLst>
                    <c:strCache>
                      <c:ptCount val="1"/>
                      <c:pt idx="0">
                        <c:v>Total Loi de finances</c:v>
                      </c:pt>
                    </c:strCache>
                  </c:strRef>
                </c:tx>
                <c:spPr>
                  <a:solidFill>
                    <a:schemeClr val="accent2">
                      <a:tint val="86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Feuil1!$D$115:$F$115</c15:sqref>
                        </c15:formulaRef>
                      </c:ext>
                    </c:extLst>
                    <c:strCache>
                      <c:ptCount val="3"/>
                      <c:pt idx="0">
                        <c:v>Recettes (Mds FCFA)</c:v>
                      </c:pt>
                      <c:pt idx="1">
                        <c:v>Dépenses (Mds FCFA)</c:v>
                      </c:pt>
                      <c:pt idx="2">
                        <c:v>Écart</c:v>
                      </c:pt>
                    </c:strCache>
                  </c:strRef>
                </c:cat>
                <c:val>
                  <c:numRef>
                    <c:extLst xmlns:c15="http://schemas.microsoft.com/office/drawing/2012/chart">
                      <c:ext xmlns:c15="http://schemas.microsoft.com/office/drawing/2012/chart" uri="{02D57815-91ED-43cb-92C2-25804820EDAC}">
                        <c15:formulaRef>
                          <c15:sqref>Feuil1!$D$118:$F$118</c15:sqref>
                        </c15:formulaRef>
                      </c:ext>
                    </c:extLst>
                    <c:numCache>
                      <c:formatCode>_(* #,##0.00_);_(* \(#,##0.00\);_(* "-"??_);_(@_)</c:formatCode>
                      <c:ptCount val="3"/>
                      <c:pt idx="0">
                        <c:v>5014.3</c:v>
                      </c:pt>
                      <c:pt idx="1">
                        <c:v>6614.8</c:v>
                      </c:pt>
                      <c:pt idx="2">
                        <c:v>-1600.5</c:v>
                      </c:pt>
                    </c:numCache>
                  </c:numRef>
                </c:val>
                <c:extLst xmlns:c15="http://schemas.microsoft.com/office/drawing/2012/chart">
                  <c:ext xmlns:c16="http://schemas.microsoft.com/office/drawing/2014/chart" uri="{C3380CC4-5D6E-409C-BE32-E72D297353CC}">
                    <c16:uniqueId val="{00000003-86D7-4D8B-9F39-7AB95FA55077}"/>
                  </c:ext>
                </c:extLst>
              </c15:ser>
            </c15:filteredBarSeries>
          </c:ext>
        </c:extLst>
      </c:barChart>
      <c:catAx>
        <c:axId val="121529433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1215295295"/>
        <c:crosses val="autoZero"/>
        <c:auto val="1"/>
        <c:lblAlgn val="ctr"/>
        <c:lblOffset val="100"/>
        <c:noMultiLvlLbl val="0"/>
      </c:catAx>
      <c:valAx>
        <c:axId val="1215295295"/>
        <c:scaling>
          <c:orientation val="minMax"/>
        </c:scaling>
        <c:delete val="0"/>
        <c:axPos val="b"/>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152943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accent6">
        <a:lumMod val="20000"/>
        <a:lumOff val="80000"/>
      </a:schemeClr>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en-US" sz="1400" b="0" i="0" u="none" strike="noStrike" kern="1200" spc="0" baseline="0">
                <a:solidFill>
                  <a:schemeClr val="tx2">
                    <a:lumMod val="10000"/>
                    <a:lumOff val="90000"/>
                  </a:schemeClr>
                </a:solidFill>
                <a:highlight>
                  <a:srgbClr val="800000"/>
                </a:highlight>
                <a:latin typeface="+mn-lt"/>
                <a:ea typeface="+mn-ea"/>
                <a:cs typeface="+mn-cs"/>
              </a:defRPr>
            </a:pPr>
            <a:r>
              <a:rPr lang="en-US"/>
              <a:t>Type de dette</a:t>
            </a:r>
          </a:p>
        </c:rich>
      </c:tx>
      <c:overlay val="0"/>
      <c:spPr>
        <a:noFill/>
        <a:ln>
          <a:noFill/>
        </a:ln>
        <a:effectLst/>
      </c:spPr>
      <c:txPr>
        <a:bodyPr rot="0" spcFirstLastPara="1" vertOverflow="ellipsis" vert="horz" wrap="square" anchor="ctr" anchorCtr="1"/>
        <a:lstStyle/>
        <a:p>
          <a:pPr>
            <a:defRPr lang="en-US" sz="1400" b="0" i="0" u="none" strike="noStrike" kern="1200" spc="0" baseline="0">
              <a:solidFill>
                <a:schemeClr val="tx2">
                  <a:lumMod val="10000"/>
                  <a:lumOff val="90000"/>
                </a:schemeClr>
              </a:solidFill>
              <a:highlight>
                <a:srgbClr val="800000"/>
              </a:highlight>
              <a:latin typeface="+mn-lt"/>
              <a:ea typeface="+mn-ea"/>
              <a:cs typeface="+mn-cs"/>
            </a:defRPr>
          </a:pPr>
          <a:endParaRPr lang="fr-FR"/>
        </a:p>
      </c:txPr>
    </c:title>
    <c:autoTitleDeleted val="0"/>
    <c:plotArea>
      <c:layout/>
      <c:barChart>
        <c:barDir val="col"/>
        <c:grouping val="clustered"/>
        <c:varyColors val="0"/>
        <c:ser>
          <c:idx val="0"/>
          <c:order val="0"/>
          <c:tx>
            <c:strRef>
              <c:f>Feuil1!$D$161</c:f>
              <c:strCache>
                <c:ptCount val="1"/>
                <c:pt idx="0">
                  <c:v>Dette Extérieure</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lang="en-US" sz="900" b="0" i="0" u="none" strike="noStrike" kern="1200" baseline="0">
                    <a:solidFill>
                      <a:schemeClr val="tx2">
                        <a:lumMod val="10000"/>
                        <a:lumOff val="90000"/>
                      </a:schemeClr>
                    </a:solidFill>
                    <a:highlight>
                      <a:srgbClr val="800000"/>
                    </a:highlight>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Feuil1!$E$160:$H$160</c:f>
              <c:strCache>
                <c:ptCount val="4"/>
                <c:pt idx="0">
                  <c:v>Principal</c:v>
                </c:pt>
                <c:pt idx="1">
                  <c:v>Intérêts</c:v>
                </c:pt>
                <c:pt idx="2">
                  <c:v>Total</c:v>
                </c:pt>
                <c:pt idx="3">
                  <c:v>%</c:v>
                </c:pt>
              </c:strCache>
            </c:strRef>
          </c:cat>
          <c:val>
            <c:numRef>
              <c:f>Feuil1!$E$161:$H$161</c:f>
              <c:numCache>
                <c:formatCode>_(* #,##0.00_);_(* \(#,##0.00\);_(* "-"??_);_(@_)</c:formatCode>
                <c:ptCount val="4"/>
                <c:pt idx="0">
                  <c:v>1295.17</c:v>
                </c:pt>
                <c:pt idx="1">
                  <c:v>634.54</c:v>
                </c:pt>
                <c:pt idx="2">
                  <c:v>1929.71</c:v>
                </c:pt>
                <c:pt idx="3" formatCode="General">
                  <c:v>50.1</c:v>
                </c:pt>
              </c:numCache>
            </c:numRef>
          </c:val>
          <c:extLst>
            <c:ext xmlns:c16="http://schemas.microsoft.com/office/drawing/2014/chart" uri="{C3380CC4-5D6E-409C-BE32-E72D297353CC}">
              <c16:uniqueId val="{00000000-5819-4372-BD31-28013BA6B802}"/>
            </c:ext>
          </c:extLst>
        </c:ser>
        <c:ser>
          <c:idx val="1"/>
          <c:order val="1"/>
          <c:tx>
            <c:strRef>
              <c:f>Feuil1!$D$162</c:f>
              <c:strCache>
                <c:ptCount val="1"/>
                <c:pt idx="0">
                  <c:v>Dette Intérieure</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lang="en-US" sz="900" b="0" i="0" u="none" strike="noStrike" kern="1200" baseline="0">
                    <a:solidFill>
                      <a:schemeClr val="tx2">
                        <a:lumMod val="10000"/>
                        <a:lumOff val="90000"/>
                      </a:schemeClr>
                    </a:solidFill>
                    <a:highlight>
                      <a:srgbClr val="800000"/>
                    </a:highlight>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Feuil1!$E$160:$H$160</c:f>
              <c:strCache>
                <c:ptCount val="4"/>
                <c:pt idx="0">
                  <c:v>Principal</c:v>
                </c:pt>
                <c:pt idx="1">
                  <c:v>Intérêts</c:v>
                </c:pt>
                <c:pt idx="2">
                  <c:v>Total</c:v>
                </c:pt>
                <c:pt idx="3">
                  <c:v>%</c:v>
                </c:pt>
              </c:strCache>
            </c:strRef>
          </c:cat>
          <c:val>
            <c:numRef>
              <c:f>Feuil1!$E$162:$H$162</c:f>
              <c:numCache>
                <c:formatCode>_(* #,##0.00_);_(* \(#,##0.00\);_(* "-"??_);_(@_)</c:formatCode>
                <c:ptCount val="4"/>
                <c:pt idx="0">
                  <c:v>1628.27</c:v>
                </c:pt>
                <c:pt idx="1">
                  <c:v>297.55</c:v>
                </c:pt>
                <c:pt idx="2">
                  <c:v>1925.81</c:v>
                </c:pt>
                <c:pt idx="3" formatCode="General">
                  <c:v>49.9</c:v>
                </c:pt>
              </c:numCache>
            </c:numRef>
          </c:val>
          <c:extLst>
            <c:ext xmlns:c16="http://schemas.microsoft.com/office/drawing/2014/chart" uri="{C3380CC4-5D6E-409C-BE32-E72D297353CC}">
              <c16:uniqueId val="{00000001-5819-4372-BD31-28013BA6B802}"/>
            </c:ext>
          </c:extLst>
        </c:ser>
        <c:ser>
          <c:idx val="2"/>
          <c:order val="2"/>
          <c:tx>
            <c:strRef>
              <c:f>Feuil1!$D$163</c:f>
              <c:strCache>
                <c:ptCount val="1"/>
                <c:pt idx="0">
                  <c:v>Total Service Dette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lang="en-US" sz="900" b="0" i="0" u="none" strike="noStrike" kern="1200" baseline="0">
                    <a:solidFill>
                      <a:schemeClr val="tx2">
                        <a:lumMod val="10000"/>
                        <a:lumOff val="90000"/>
                      </a:schemeClr>
                    </a:solidFill>
                    <a:highlight>
                      <a:srgbClr val="800000"/>
                    </a:highlight>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Feuil1!$E$160:$H$160</c:f>
              <c:strCache>
                <c:ptCount val="4"/>
                <c:pt idx="0">
                  <c:v>Principal</c:v>
                </c:pt>
                <c:pt idx="1">
                  <c:v>Intérêts</c:v>
                </c:pt>
                <c:pt idx="2">
                  <c:v>Total</c:v>
                </c:pt>
                <c:pt idx="3">
                  <c:v>%</c:v>
                </c:pt>
              </c:strCache>
            </c:strRef>
          </c:cat>
          <c:val>
            <c:numRef>
              <c:f>Feuil1!$E$163:$H$163</c:f>
              <c:numCache>
                <c:formatCode>_(* #,##0.00_);_(* \(#,##0.00\);_(* "-"??_);_(@_)</c:formatCode>
                <c:ptCount val="4"/>
                <c:pt idx="0">
                  <c:v>2923.44</c:v>
                </c:pt>
                <c:pt idx="1">
                  <c:v>932.08</c:v>
                </c:pt>
                <c:pt idx="2">
                  <c:v>3855.52</c:v>
                </c:pt>
                <c:pt idx="3" formatCode="General">
                  <c:v>100</c:v>
                </c:pt>
              </c:numCache>
            </c:numRef>
          </c:val>
          <c:extLst>
            <c:ext xmlns:c16="http://schemas.microsoft.com/office/drawing/2014/chart" uri="{C3380CC4-5D6E-409C-BE32-E72D297353CC}">
              <c16:uniqueId val="{00000002-5819-4372-BD31-28013BA6B802}"/>
            </c:ext>
          </c:extLst>
        </c:ser>
        <c:dLbls>
          <c:dLblPos val="outEnd"/>
          <c:showLegendKey val="0"/>
          <c:showVal val="1"/>
          <c:showCatName val="0"/>
          <c:showSerName val="0"/>
          <c:showPercent val="0"/>
          <c:showBubbleSize val="0"/>
        </c:dLbls>
        <c:gapWidth val="219"/>
        <c:overlap val="-27"/>
        <c:axId val="1251336847"/>
        <c:axId val="1251337327"/>
      </c:barChart>
      <c:catAx>
        <c:axId val="125133684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2">
                    <a:lumMod val="10000"/>
                    <a:lumOff val="90000"/>
                  </a:schemeClr>
                </a:solidFill>
                <a:highlight>
                  <a:srgbClr val="800000"/>
                </a:highlight>
                <a:latin typeface="+mn-lt"/>
                <a:ea typeface="+mn-ea"/>
                <a:cs typeface="+mn-cs"/>
              </a:defRPr>
            </a:pPr>
            <a:endParaRPr lang="fr-FR"/>
          </a:p>
        </c:txPr>
        <c:crossAx val="1251337327"/>
        <c:crosses val="autoZero"/>
        <c:auto val="1"/>
        <c:lblAlgn val="ctr"/>
        <c:lblOffset val="100"/>
        <c:noMultiLvlLbl val="0"/>
      </c:catAx>
      <c:valAx>
        <c:axId val="1251337327"/>
        <c:scaling>
          <c:orientation val="minMax"/>
        </c:scaling>
        <c:delete val="1"/>
        <c:axPos val="l"/>
        <c:numFmt formatCode="_(* #,##0.00_);_(* \(#,##0.00\);_(* &quot;-&quot;??_);_(@_)" sourceLinked="1"/>
        <c:majorTickMark val="none"/>
        <c:minorTickMark val="none"/>
        <c:tickLblPos val="nextTo"/>
        <c:crossAx val="125133684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2">
                  <a:lumMod val="10000"/>
                  <a:lumOff val="90000"/>
                </a:schemeClr>
              </a:solidFill>
              <a:highlight>
                <a:srgbClr val="800000"/>
              </a:highlight>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solidFill>
            <a:schemeClr val="tx2">
              <a:lumMod val="10000"/>
              <a:lumOff val="90000"/>
            </a:schemeClr>
          </a:solidFill>
          <a:highlight>
            <a:srgbClr val="800000"/>
          </a:highlight>
        </a:defRPr>
      </a:pPr>
      <a:endParaRPr lang="fr-F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bg1"/>
                </a:solidFill>
                <a:highlight>
                  <a:srgbClr val="008080"/>
                </a:highlight>
                <a:latin typeface="+mn-lt"/>
                <a:ea typeface="+mn-ea"/>
                <a:cs typeface="+mn-cs"/>
              </a:defRPr>
            </a:pPr>
            <a:r>
              <a:rPr lang="en-US"/>
              <a:t>Créanciers</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bg1"/>
              </a:solidFill>
              <a:highlight>
                <a:srgbClr val="008080"/>
              </a:highlight>
              <a:latin typeface="+mn-lt"/>
              <a:ea typeface="+mn-ea"/>
              <a:cs typeface="+mn-cs"/>
            </a:defRPr>
          </a:pPr>
          <a:endParaRPr lang="fr-FR"/>
        </a:p>
      </c:txPr>
    </c:title>
    <c:autoTitleDeleted val="0"/>
    <c:plotArea>
      <c:layout/>
      <c:barChart>
        <c:barDir val="col"/>
        <c:grouping val="clustered"/>
        <c:varyColors val="0"/>
        <c:ser>
          <c:idx val="0"/>
          <c:order val="0"/>
          <c:tx>
            <c:strRef>
              <c:f>Feuil1!$E$175</c:f>
              <c:strCache>
                <c:ptCount val="1"/>
                <c:pt idx="0">
                  <c:v>Montant (Mds FCFA)</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bg1"/>
                    </a:solidFill>
                    <a:highlight>
                      <a:srgbClr val="008080"/>
                    </a:highlight>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Feuil1!$D$176:$D$180</c:f>
              <c:strCache>
                <c:ptCount val="5"/>
                <c:pt idx="0">
                  <c:v>Multilatéraux</c:v>
                </c:pt>
                <c:pt idx="1">
                  <c:v>Bilatéraux</c:v>
                </c:pt>
                <c:pt idx="2">
                  <c:v>Commerciaux</c:v>
                </c:pt>
                <c:pt idx="3">
                  <c:v>Export</c:v>
                </c:pt>
                <c:pt idx="4">
                  <c:v>Autres</c:v>
                </c:pt>
              </c:strCache>
            </c:strRef>
          </c:cat>
          <c:val>
            <c:numRef>
              <c:f>Feuil1!$E$176:$E$180</c:f>
              <c:numCache>
                <c:formatCode>0.00</c:formatCode>
                <c:ptCount val="5"/>
                <c:pt idx="0">
                  <c:v>392.03</c:v>
                </c:pt>
                <c:pt idx="1">
                  <c:v>383.63</c:v>
                </c:pt>
                <c:pt idx="2">
                  <c:v>838.11</c:v>
                </c:pt>
                <c:pt idx="3">
                  <c:v>275.98</c:v>
                </c:pt>
                <c:pt idx="4">
                  <c:v>39.950000000000003</c:v>
                </c:pt>
              </c:numCache>
            </c:numRef>
          </c:val>
          <c:extLst>
            <c:ext xmlns:c16="http://schemas.microsoft.com/office/drawing/2014/chart" uri="{C3380CC4-5D6E-409C-BE32-E72D297353CC}">
              <c16:uniqueId val="{00000000-B08A-4E98-82CF-12F6831E834D}"/>
            </c:ext>
          </c:extLst>
        </c:ser>
        <c:ser>
          <c:idx val="1"/>
          <c:order val="1"/>
          <c:tx>
            <c:strRef>
              <c:f>Feuil1!$F$175</c:f>
              <c:strCache>
                <c:ptCount val="1"/>
                <c:pt idx="0">
                  <c:v>%</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bg1"/>
                    </a:solidFill>
                    <a:highlight>
                      <a:srgbClr val="008080"/>
                    </a:highlight>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Feuil1!$D$176:$D$180</c:f>
              <c:strCache>
                <c:ptCount val="5"/>
                <c:pt idx="0">
                  <c:v>Multilatéraux</c:v>
                </c:pt>
                <c:pt idx="1">
                  <c:v>Bilatéraux</c:v>
                </c:pt>
                <c:pt idx="2">
                  <c:v>Commerciaux</c:v>
                </c:pt>
                <c:pt idx="3">
                  <c:v>Export</c:v>
                </c:pt>
                <c:pt idx="4">
                  <c:v>Autres</c:v>
                </c:pt>
              </c:strCache>
            </c:strRef>
          </c:cat>
          <c:val>
            <c:numRef>
              <c:f>Feuil1!$F$176:$F$180</c:f>
              <c:numCache>
                <c:formatCode>General</c:formatCode>
                <c:ptCount val="5"/>
                <c:pt idx="0">
                  <c:v>20.3</c:v>
                </c:pt>
                <c:pt idx="1">
                  <c:v>19.899999999999999</c:v>
                </c:pt>
                <c:pt idx="2">
                  <c:v>43.4</c:v>
                </c:pt>
                <c:pt idx="3">
                  <c:v>14.3</c:v>
                </c:pt>
                <c:pt idx="4">
                  <c:v>2.1</c:v>
                </c:pt>
              </c:numCache>
            </c:numRef>
          </c:val>
          <c:extLst>
            <c:ext xmlns:c16="http://schemas.microsoft.com/office/drawing/2014/chart" uri="{C3380CC4-5D6E-409C-BE32-E72D297353CC}">
              <c16:uniqueId val="{00000001-B08A-4E98-82CF-12F6831E834D}"/>
            </c:ext>
          </c:extLst>
        </c:ser>
        <c:dLbls>
          <c:dLblPos val="outEnd"/>
          <c:showLegendKey val="0"/>
          <c:showVal val="1"/>
          <c:showCatName val="0"/>
          <c:showSerName val="0"/>
          <c:showPercent val="0"/>
          <c:showBubbleSize val="0"/>
        </c:dLbls>
        <c:gapWidth val="219"/>
        <c:overlap val="-27"/>
        <c:axId val="454868079"/>
        <c:axId val="454867599"/>
      </c:barChart>
      <c:catAx>
        <c:axId val="45486807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bg1"/>
                </a:solidFill>
                <a:highlight>
                  <a:srgbClr val="008080"/>
                </a:highlight>
                <a:latin typeface="+mn-lt"/>
                <a:ea typeface="+mn-ea"/>
                <a:cs typeface="+mn-cs"/>
              </a:defRPr>
            </a:pPr>
            <a:endParaRPr lang="fr-FR"/>
          </a:p>
        </c:txPr>
        <c:crossAx val="454867599"/>
        <c:crosses val="autoZero"/>
        <c:auto val="1"/>
        <c:lblAlgn val="ctr"/>
        <c:lblOffset val="100"/>
        <c:noMultiLvlLbl val="0"/>
      </c:catAx>
      <c:valAx>
        <c:axId val="454867599"/>
        <c:scaling>
          <c:orientation val="minMax"/>
        </c:scaling>
        <c:delete val="1"/>
        <c:axPos val="l"/>
        <c:numFmt formatCode="0.00" sourceLinked="1"/>
        <c:majorTickMark val="none"/>
        <c:minorTickMark val="none"/>
        <c:tickLblPos val="nextTo"/>
        <c:crossAx val="45486807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bg1"/>
              </a:solidFill>
              <a:highlight>
                <a:srgbClr val="008080"/>
              </a:highlight>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i="0">
          <a:solidFill>
            <a:schemeClr val="bg1"/>
          </a:solidFill>
          <a:highlight>
            <a:srgbClr val="008080"/>
          </a:highlight>
        </a:defRPr>
      </a:pPr>
      <a:endParaRPr lang="fr-FR"/>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highlight>
                  <a:srgbClr val="C0C0C0"/>
                </a:highlight>
                <a:latin typeface="+mn-lt"/>
                <a:ea typeface="+mn-ea"/>
                <a:cs typeface="+mn-cs"/>
              </a:defRPr>
            </a:pPr>
            <a:r>
              <a:rPr lang="en-US"/>
              <a:t>Instruments</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highlight>
                <a:srgbClr val="C0C0C0"/>
              </a:highlight>
              <a:latin typeface="+mn-lt"/>
              <a:ea typeface="+mn-ea"/>
              <a:cs typeface="+mn-cs"/>
            </a:defRPr>
          </a:pPr>
          <a:endParaRPr lang="fr-FR"/>
        </a:p>
      </c:txPr>
    </c:title>
    <c:autoTitleDeleted val="0"/>
    <c:plotArea>
      <c:layout/>
      <c:barChart>
        <c:barDir val="bar"/>
        <c:grouping val="clustered"/>
        <c:varyColors val="0"/>
        <c:ser>
          <c:idx val="0"/>
          <c:order val="0"/>
          <c:tx>
            <c:strRef>
              <c:f>Feuil1!$E$190</c:f>
              <c:strCache>
                <c:ptCount val="1"/>
                <c:pt idx="0">
                  <c:v>Montant</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tx1">
                        <a:lumMod val="75000"/>
                        <a:lumOff val="25000"/>
                      </a:schemeClr>
                    </a:solidFill>
                    <a:highlight>
                      <a:srgbClr val="C0C0C0"/>
                    </a:highlight>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Feuil1!$D$191:$D$196</c:f>
              <c:strCache>
                <c:ptCount val="6"/>
                <c:pt idx="0">
                  <c:v>Obligations Trésor</c:v>
                </c:pt>
                <c:pt idx="1">
                  <c:v>Bons Trésor</c:v>
                </c:pt>
                <c:pt idx="2">
                  <c:v>DTS FMI</c:v>
                </c:pt>
                <c:pt idx="3">
                  <c:v>Crédits bancaires</c:v>
                </c:pt>
                <c:pt idx="4">
                  <c:v>APE/Sukuk</c:v>
                </c:pt>
                <c:pt idx="5">
                  <c:v>Autres</c:v>
                </c:pt>
              </c:strCache>
            </c:strRef>
          </c:cat>
          <c:val>
            <c:numRef>
              <c:f>Feuil1!$E$191:$E$196</c:f>
              <c:numCache>
                <c:formatCode>_(* #,##0.00_);_(* \(#,##0.00\);_(* "-"??_);_(@_)</c:formatCode>
                <c:ptCount val="6"/>
                <c:pt idx="0">
                  <c:v>751.21</c:v>
                </c:pt>
                <c:pt idx="1">
                  <c:v>394.78</c:v>
                </c:pt>
                <c:pt idx="2">
                  <c:v>143.16999999999999</c:v>
                </c:pt>
                <c:pt idx="3">
                  <c:v>270</c:v>
                </c:pt>
                <c:pt idx="4">
                  <c:v>144.97</c:v>
                </c:pt>
                <c:pt idx="5">
                  <c:v>221.68</c:v>
                </c:pt>
              </c:numCache>
            </c:numRef>
          </c:val>
          <c:extLst>
            <c:ext xmlns:c16="http://schemas.microsoft.com/office/drawing/2014/chart" uri="{C3380CC4-5D6E-409C-BE32-E72D297353CC}">
              <c16:uniqueId val="{00000000-8A16-4777-9067-D12474AAD0EF}"/>
            </c:ext>
          </c:extLst>
        </c:ser>
        <c:ser>
          <c:idx val="1"/>
          <c:order val="1"/>
          <c:tx>
            <c:strRef>
              <c:f>Feuil1!$F$190</c:f>
              <c:strCache>
                <c:ptCount val="1"/>
                <c:pt idx="0">
                  <c:v>%</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tx1">
                        <a:lumMod val="75000"/>
                        <a:lumOff val="25000"/>
                      </a:schemeClr>
                    </a:solidFill>
                    <a:highlight>
                      <a:srgbClr val="C0C0C0"/>
                    </a:highlight>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Feuil1!$D$191:$D$196</c:f>
              <c:strCache>
                <c:ptCount val="6"/>
                <c:pt idx="0">
                  <c:v>Obligations Trésor</c:v>
                </c:pt>
                <c:pt idx="1">
                  <c:v>Bons Trésor</c:v>
                </c:pt>
                <c:pt idx="2">
                  <c:v>DTS FMI</c:v>
                </c:pt>
                <c:pt idx="3">
                  <c:v>Crédits bancaires</c:v>
                </c:pt>
                <c:pt idx="4">
                  <c:v>APE/Sukuk</c:v>
                </c:pt>
                <c:pt idx="5">
                  <c:v>Autres</c:v>
                </c:pt>
              </c:strCache>
            </c:strRef>
          </c:cat>
          <c:val>
            <c:numRef>
              <c:f>Feuil1!$F$191:$F$196</c:f>
              <c:numCache>
                <c:formatCode>General</c:formatCode>
                <c:ptCount val="6"/>
                <c:pt idx="0">
                  <c:v>39</c:v>
                </c:pt>
                <c:pt idx="1">
                  <c:v>20.5</c:v>
                </c:pt>
                <c:pt idx="2">
                  <c:v>7.4</c:v>
                </c:pt>
                <c:pt idx="3">
                  <c:v>14</c:v>
                </c:pt>
                <c:pt idx="4">
                  <c:v>7.5</c:v>
                </c:pt>
                <c:pt idx="5">
                  <c:v>11.6</c:v>
                </c:pt>
              </c:numCache>
            </c:numRef>
          </c:val>
          <c:extLst>
            <c:ext xmlns:c16="http://schemas.microsoft.com/office/drawing/2014/chart" uri="{C3380CC4-5D6E-409C-BE32-E72D297353CC}">
              <c16:uniqueId val="{00000001-8A16-4777-9067-D12474AAD0EF}"/>
            </c:ext>
          </c:extLst>
        </c:ser>
        <c:dLbls>
          <c:dLblPos val="outEnd"/>
          <c:showLegendKey val="0"/>
          <c:showVal val="1"/>
          <c:showCatName val="0"/>
          <c:showSerName val="0"/>
          <c:showPercent val="0"/>
          <c:showBubbleSize val="0"/>
        </c:dLbls>
        <c:gapWidth val="182"/>
        <c:axId val="454865199"/>
        <c:axId val="1244742639"/>
      </c:barChart>
      <c:catAx>
        <c:axId val="45486519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highlight>
                  <a:srgbClr val="C0C0C0"/>
                </a:highlight>
                <a:latin typeface="+mn-lt"/>
                <a:ea typeface="+mn-ea"/>
                <a:cs typeface="+mn-cs"/>
              </a:defRPr>
            </a:pPr>
            <a:endParaRPr lang="fr-FR"/>
          </a:p>
        </c:txPr>
        <c:crossAx val="1244742639"/>
        <c:crosses val="autoZero"/>
        <c:auto val="1"/>
        <c:lblAlgn val="ctr"/>
        <c:lblOffset val="100"/>
        <c:noMultiLvlLbl val="0"/>
      </c:catAx>
      <c:valAx>
        <c:axId val="1244742639"/>
        <c:scaling>
          <c:orientation val="minMax"/>
        </c:scaling>
        <c:delete val="0"/>
        <c:axPos val="b"/>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highlight>
                  <a:srgbClr val="C0C0C0"/>
                </a:highlight>
                <a:latin typeface="+mn-lt"/>
                <a:ea typeface="+mn-ea"/>
                <a:cs typeface="+mn-cs"/>
              </a:defRPr>
            </a:pPr>
            <a:endParaRPr lang="fr-FR"/>
          </a:p>
        </c:txPr>
        <c:crossAx val="45486519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highlight>
                <a:srgbClr val="C0C0C0"/>
              </a:highlight>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highlight>
            <a:srgbClr val="C0C0C0"/>
          </a:highlight>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5">
  <a:schemeClr val="accent2"/>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withinLinear" id="15">
  <a:schemeClr val="accent2"/>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2630</Words>
  <Characters>14468</Characters>
  <Application>Microsoft Office Word</Application>
  <DocSecurity>4</DocSecurity>
  <Lines>120</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macodou ndione</dc:creator>
  <cp:keywords/>
  <dc:description/>
  <cp:lastModifiedBy>macodou ndione</cp:lastModifiedBy>
  <cp:revision>46</cp:revision>
  <cp:lastPrinted>2025-01-06T22:30:00Z</cp:lastPrinted>
  <dcterms:created xsi:type="dcterms:W3CDTF">2025-01-06T22:33:00Z</dcterms:created>
  <dcterms:modified xsi:type="dcterms:W3CDTF">2025-01-21T23:12:00Z</dcterms:modified>
</cp:coreProperties>
</file>